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w:eastAsia="Times New Roman" w:hAnsi="Calibri" w:cs="Calibri"/>
          <w:szCs w:val="20"/>
          <w:lang w:val="en-AU" w:eastAsia="en-GB"/>
        </w:rPr>
        <w:id w:val="-1443679510"/>
        <w:docPartObj>
          <w:docPartGallery w:val="Cover Pages"/>
          <w:docPartUnique/>
        </w:docPartObj>
      </w:sdtPr>
      <w:sdtEndPr>
        <w:rPr>
          <w:rFonts w:asciiTheme="minorHAnsi" w:hAnsiTheme="minorHAnsi"/>
          <w:sz w:val="40"/>
          <w:szCs w:val="40"/>
        </w:rPr>
      </w:sdtEndPr>
      <w:sdtContent>
        <w:p w14:paraId="793F699B" w14:textId="48161C61" w:rsidR="004729F8" w:rsidRDefault="004729F8">
          <w:pPr>
            <w:pStyle w:val="NoSpacing"/>
          </w:pPr>
          <w:r>
            <w:rPr>
              <w:noProof/>
            </w:rPr>
            <mc:AlternateContent>
              <mc:Choice Requires="wpg">
                <w:drawing>
                  <wp:anchor distT="0" distB="0" distL="114300" distR="114300" simplePos="0" relativeHeight="251661312" behindDoc="1" locked="0" layoutInCell="1" allowOverlap="1" wp14:anchorId="10C34A4F" wp14:editId="21923EDD">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0" b="2540"/>
                    <wp:wrapNone/>
                    <wp:docPr id="2" name="Group 14"/>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A153F7" w14:textId="5A93CF6D" w:rsidR="004729F8" w:rsidRPr="006A282A" w:rsidRDefault="006A282A" w:rsidP="006A282A">
                                  <w:pPr>
                                    <w:pStyle w:val="NoSpacing"/>
                                    <w:jc w:val="center"/>
                                    <w:rPr>
                                      <w:color w:val="FFFFFF" w:themeColor="background1"/>
                                      <w:sz w:val="28"/>
                                      <w:szCs w:val="28"/>
                                      <w:lang w:val="en-AU"/>
                                    </w:rPr>
                                  </w:pPr>
                                  <w:r>
                                    <w:rPr>
                                      <w:color w:val="FFFFFF" w:themeColor="background1"/>
                                      <w:sz w:val="28"/>
                                      <w:szCs w:val="28"/>
                                      <w:lang w:val="en-AU"/>
                                    </w:rPr>
                                    <w:t>MARCH 2024</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rgbClr val="0070C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rgbClr val="0070C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rgbClr val="0070C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rgbClr val="0070C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rgbClr val="0070C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rgbClr val="0070C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rgbClr val="0070C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rgbClr val="0070C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rgbClr val="0070C0"/>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0C34A4F" id="Group 14" o:spid="_x0000_s1026" style="position:absolute;margin-left:0;margin-top:0;width:172.8pt;height:718.55pt;z-index:-251655168;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">
                    <v:rect id="Rectangle 3" o:spid="_x0000_s1027" style="position:absolute;width:1945;height:9125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" fillcolor="#0070c0"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" adj="18883" fillcolor="#0070c0" stroked="f" strokeweight="1pt">
                      <v:textbox inset=",0,14.4pt,0">
                        <w:txbxContent>
                          <w:p w14:paraId="6FA153F7" w14:textId="5A93CF6D" w:rsidR="004729F8" w:rsidRPr="006A282A" w:rsidRDefault="006A282A" w:rsidP="006A282A">
                            <w:pPr>
                              <w:pStyle w:val="NoSpacing"/>
                              <w:jc w:val="center"/>
                              <w:rPr>
                                <w:color w:val="FFFFFF" w:themeColor="background1"/>
                                <w:sz w:val="28"/>
                                <w:szCs w:val="28"/>
                                <w:lang w:val="en-AU"/>
                              </w:rPr>
                            </w:pPr>
                            <w:r>
                              <w:rPr>
                                <w:color w:val="FFFFFF" w:themeColor="background1"/>
                                <w:sz w:val="28"/>
                                <w:szCs w:val="28"/>
                                <w:lang w:val="en-AU"/>
                              </w:rPr>
                              <w:t>MARCH 2024</w:t>
                            </w:r>
                          </w:p>
                        </w:txbxContent>
                      </v:textbox>
                    </v:shape>
                    <v:group id="Group 5" o:spid="_x0000_s1029" style="position:absolute;left:762;top:42100;width:20574;height:49103" coordorigin="806,42118" coordsize="13062,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Group 6" o:spid="_x0000_s1030" style="position:absolute;left:1410;top:42118;width:10478;height:31210" coordorigin="1410,42118" coordsize="10477,3121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">
                        <o:lock v:ext="edit" aspectratio="t"/>
                        <v:shape id="Freeform 20" o:spid="_x0000_s1031" style="position:absolute;left:3696;top:62168;width:1937;height:6985;visibility:visible;mso-wrap-style:square;v-text-anchor:top" coordsize="122,4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" path="m,l39,152,84,304r38,113l122,440,76,306,39,180,6,53,,xe" fillcolor="#0070c0" strokecolor="#0e2841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" path="m,l8,19,37,93r30,74l116,269r-8,l60,169,30,98,1,25,,xe" fillcolor="#0070c0" strokecolor="#0e2841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" path="m,l,,1,79r2,80l12,317,23,476,39,634,58,792,83,948r24,138l135,1223r5,49l138,1262,105,1106,77,949,53,792,35,634,20,476,9,317,2,159,,79,,xe" fillcolor="#0070c0" strokecolor="#0e2841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" path="m45,r,l35,66r-9,67l14,267,6,401,3,534,6,669r8,134l18,854r,-3l9,814,8,803,1,669,,534,3,401,12,267,25,132,34,66,45,xe" fillcolor="#0070c0" strokecolor="#0e2841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" path="m,l10,44r11,82l34,207r19,86l75,380r25,86l120,521r21,55l152,618r2,11l140,595,115,532,93,468,67,383,47,295,28,207,12,104,,xe" fillcolor="#0070c0" strokecolor="#0e2841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" path="m,l33,69r-9,l12,35,,xe" fillcolor="#0e2841 [3215]" strokecolor="#0e2841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" path="m,l9,37r,3l15,93,5,49,,xe" fillcolor="#0e2841 [3215]" strokecolor="#0e2841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" path="m394,r,l356,38,319,77r-35,40l249,160r-42,58l168,276r-37,63l98,402,69,467,45,535,26,604,14,673,7,746,6,766,,749r1,-5l7,673,21,603,40,533,65,466,94,400r33,-64l164,275r40,-60l248,158r34,-42l318,76,354,37,394,xe" fillcolor="#0070c0" strokecolor="#0e2841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" path="m,l6,16r1,3l11,80r9,52l33,185r3,9l21,161,15,145,5,81,1,41,,xe" fillcolor="#0070c0" strokecolor="#0e2841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" path="m,l31,65r-8,l,xe" fillcolor="#0070c0" strokecolor="#0e2841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" path="m,l6,17,7,42,6,39,,23,,xe" fillcolor="#0e2841 [3215]" strokecolor="#0e2841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" path="m,l6,16,21,49,33,84r12,34l44,118,13,53,11,42,,xe" fillcolor="#0070c0" strokecolor="#0e2841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o:lock v:ext="edit" aspectratio="t"/>
                        <v:shape id="Freeform 8" o:spid="_x0000_s1044" style="position:absolute;left:1187;top:51897;width:1984;height:7143;visibility:visible;mso-wrap-style:square;v-text-anchor:top" coordsize="125,4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" path="m,l41,155,86,309r39,116l125,450,79,311,41,183,7,54,,xe" fillcolor="#0e2841 [3215]" strokecolor="#0e2841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" path="m,l8,20,37,96r32,74l118,275r-9,l61,174,30,100,,26,,xe" fillcolor="#0e2841 [3215]" strokecolor="#0e2841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" path="m,l16,72r4,49l18,112,,31,,xe" fillcolor="#0e2841 [3215]" strokecolor="#0e2841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" path="m,l11,46r11,83l36,211r19,90l76,389r27,87l123,533r21,55l155,632r3,11l142,608,118,544,95,478,69,391,47,302,29,212,13,107,,xe" fillcolor="#0e2841 [3215]" strokecolor="#0e2841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" path="m,l33,71r-9,l11,36,,xe" fillcolor="#0e2841 [3215]" strokecolor="#0e2841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" path="m,l8,37r,4l15,95,4,49,,xe" fillcolor="#0e2841 [3215]" strokecolor="#0e2841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" path="m402,r,1l363,39,325,79r-35,42l255,164r-44,58l171,284r-38,62l100,411,71,478,45,546,27,617,13,689,7,761r,21l,765r1,-4l7,688,21,616,40,545,66,475,95,409r35,-66l167,281r42,-61l253,163r34,-43l324,78,362,38,402,xe" fillcolor="#0e2841 [3215]" strokecolor="#0e2841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" path="m,l6,15r1,3l12,80r9,54l33,188r4,8l22,162,15,146,5,81,1,40,,xe" fillcolor="#0e2841 [3215]" strokecolor="#0e2841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" path="m,l31,66r-7,l,xe" fillcolor="#0e2841 [3215]" strokecolor="#0e2841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" path="m,l7,17r,26l6,40,,25,,xe" fillcolor="#0e2841 [3215]" strokecolor="#0e2841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" path="m,l7,16,22,50,33,86r13,35l45,121,14,55,11,44,,xe" fillcolor="#0e2841 [3215]" strokecolor="#0e2841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992D57">
            <w:rPr>
              <w:caps/>
              <w:color w:val="595959" w:themeColor="text1" w:themeTint="A6"/>
              <w:sz w:val="20"/>
              <w:szCs w:val="20"/>
            </w:rPr>
            <w:t xml:space="preserve"> </w:t>
          </w:r>
        </w:p>
        <w:p w14:paraId="131D8C70" w14:textId="28CCBD04" w:rsidR="004729F8" w:rsidRDefault="00933726">
          <w:pPr>
            <w:spacing w:before="0" w:after="0"/>
            <w:rPr>
              <w:rFonts w:eastAsiaTheme="majorEastAsia" w:cstheme="majorBidi"/>
              <w:spacing w:val="-10"/>
              <w:kern w:val="28"/>
              <w:sz w:val="40"/>
              <w:szCs w:val="40"/>
              <w:lang w:val="en-US" w:eastAsia="zh-CN"/>
            </w:rPr>
          </w:pPr>
          <w:r>
            <w:rPr>
              <w:noProof/>
              <w:sz w:val="40"/>
              <w:szCs w:val="40"/>
              <w:lang w:val="en-US" w:eastAsia="zh-CN"/>
              <w14:ligatures w14:val="standardContextual"/>
            </w:rPr>
            <mc:AlternateContent>
              <mc:Choice Requires="wps">
                <w:drawing>
                  <wp:anchor distT="0" distB="0" distL="114300" distR="114300" simplePos="0" relativeHeight="251666432" behindDoc="0" locked="0" layoutInCell="1" allowOverlap="1" wp14:anchorId="339E7692" wp14:editId="3192251B">
                    <wp:simplePos x="0" y="0"/>
                    <wp:positionH relativeFrom="column">
                      <wp:posOffset>2078990</wp:posOffset>
                    </wp:positionH>
                    <wp:positionV relativeFrom="paragraph">
                      <wp:posOffset>7200265</wp:posOffset>
                    </wp:positionV>
                    <wp:extent cx="4241800" cy="644042"/>
                    <wp:effectExtent l="0" t="0" r="0" b="3810"/>
                    <wp:wrapNone/>
                    <wp:docPr id="1759974900" name="Text Box 2"/>
                    <wp:cNvGraphicFramePr/>
                    <a:graphic xmlns:a="http://schemas.openxmlformats.org/drawingml/2006/main">
                      <a:graphicData uri="http://schemas.microsoft.com/office/word/2010/wordprocessingShape">
                        <wps:wsp>
                          <wps:cNvSpPr txBox="1"/>
                          <wps:spPr>
                            <a:xfrm>
                              <a:off x="0" y="0"/>
                              <a:ext cx="4241800" cy="644042"/>
                            </a:xfrm>
                            <a:prstGeom prst="rect">
                              <a:avLst/>
                            </a:prstGeom>
                            <a:solidFill>
                              <a:schemeClr val="lt1"/>
                            </a:solidFill>
                            <a:ln w="6350">
                              <a:noFill/>
                            </a:ln>
                          </wps:spPr>
                          <wps:txbx>
                            <w:txbxContent>
                              <w:p w14:paraId="2A8C7CF5" w14:textId="1B353A10" w:rsidR="00C76E9A" w:rsidRPr="00933726" w:rsidRDefault="00C76E9A" w:rsidP="00933726">
                                <w:pPr>
                                  <w:contextualSpacing/>
                                  <w:rPr>
                                    <w:rFonts w:asciiTheme="majorHAnsi" w:hAnsiTheme="majorHAnsi"/>
                                    <w:sz w:val="28"/>
                                    <w:szCs w:val="28"/>
                                  </w:rPr>
                                </w:pPr>
                                <w:r w:rsidRPr="00933726">
                                  <w:rPr>
                                    <w:rFonts w:asciiTheme="majorHAnsi" w:hAnsiTheme="majorHAnsi"/>
                                    <w:sz w:val="28"/>
                                    <w:szCs w:val="28"/>
                                  </w:rPr>
                                  <w:t>Dr John H Howard</w:t>
                                </w:r>
                              </w:p>
                              <w:p w14:paraId="1E52C5CE" w14:textId="64013434" w:rsidR="00C76E9A" w:rsidRPr="00933726" w:rsidRDefault="00C76E9A" w:rsidP="00933726">
                                <w:pPr>
                                  <w:contextualSpacing/>
                                  <w:rPr>
                                    <w:rFonts w:asciiTheme="majorHAnsi" w:hAnsiTheme="majorHAnsi"/>
                                    <w:sz w:val="28"/>
                                    <w:szCs w:val="28"/>
                                  </w:rPr>
                                </w:pPr>
                                <w:r w:rsidRPr="00933726">
                                  <w:rPr>
                                    <w:rFonts w:asciiTheme="majorHAnsi" w:hAnsiTheme="majorHAnsi"/>
                                    <w:sz w:val="28"/>
                                    <w:szCs w:val="28"/>
                                  </w:rPr>
                                  <w:t>Visiting Professor, University of Technology Sydney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9E7692" id="_x0000_t202" coordsize="21600,21600" o:spt="202" path="m,l,21600r21600,l21600,xe">
                    <v:stroke joinstyle="miter"/>
                    <v:path gradientshapeok="t" o:connecttype="rect"/>
                  </v:shapetype>
                  <v:shape id="Text Box 2" o:spid="_x0000_s1055" type="#_x0000_t202" style="position:absolute;margin-left:163.7pt;margin-top:566.95pt;width:334pt;height:5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" fillcolor="white [3201]" stroked="f" strokeweight=".5pt">
                    <v:textbox>
                      <w:txbxContent>
                        <w:p w14:paraId="2A8C7CF5" w14:textId="1B353A10" w:rsidR="00C76E9A" w:rsidRPr="00933726" w:rsidRDefault="00C76E9A" w:rsidP="00933726">
                          <w:pPr>
                            <w:contextualSpacing/>
                            <w:rPr>
                              <w:rFonts w:asciiTheme="majorHAnsi" w:hAnsiTheme="majorHAnsi"/>
                              <w:sz w:val="28"/>
                              <w:szCs w:val="28"/>
                            </w:rPr>
                          </w:pPr>
                          <w:r w:rsidRPr="00933726">
                            <w:rPr>
                              <w:rFonts w:asciiTheme="majorHAnsi" w:hAnsiTheme="majorHAnsi"/>
                              <w:sz w:val="28"/>
                              <w:szCs w:val="28"/>
                            </w:rPr>
                            <w:t>Dr John H Howard</w:t>
                          </w:r>
                        </w:p>
                        <w:p w14:paraId="1E52C5CE" w14:textId="64013434" w:rsidR="00C76E9A" w:rsidRPr="00933726" w:rsidRDefault="00C76E9A" w:rsidP="00933726">
                          <w:pPr>
                            <w:contextualSpacing/>
                            <w:rPr>
                              <w:rFonts w:asciiTheme="majorHAnsi" w:hAnsiTheme="majorHAnsi"/>
                              <w:sz w:val="28"/>
                              <w:szCs w:val="28"/>
                            </w:rPr>
                          </w:pPr>
                          <w:r w:rsidRPr="00933726">
                            <w:rPr>
                              <w:rFonts w:asciiTheme="majorHAnsi" w:hAnsiTheme="majorHAnsi"/>
                              <w:sz w:val="28"/>
                              <w:szCs w:val="28"/>
                            </w:rPr>
                            <w:t>Visiting Professor, University of Technology Sydney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154E839" wp14:editId="7A7A6659">
                    <wp:simplePos x="0" y="0"/>
                    <wp:positionH relativeFrom="page">
                      <wp:posOffset>3112770</wp:posOffset>
                    </wp:positionH>
                    <wp:positionV relativeFrom="page">
                      <wp:posOffset>1893767</wp:posOffset>
                    </wp:positionV>
                    <wp:extent cx="3657600" cy="1069848"/>
                    <wp:effectExtent l="0" t="0" r="7620" b="635"/>
                    <wp:wrapNone/>
                    <wp:docPr id="1" name="Text Box 16"/>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F8CE" w14:textId="4B207E35" w:rsidR="004729F8"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3C07B7">
                                      <w:rPr>
                                        <w:rFonts w:asciiTheme="majorHAnsi" w:eastAsiaTheme="majorEastAsia" w:hAnsiTheme="majorHAnsi" w:cstheme="majorBidi"/>
                                        <w:color w:val="262626" w:themeColor="text1" w:themeTint="D9"/>
                                        <w:sz w:val="72"/>
                                        <w:szCs w:val="72"/>
                                      </w:rPr>
                                      <w:t>The Science, Research, and Innovation Budget Tables</w:t>
                                    </w:r>
                                  </w:sdtContent>
                                </w:sdt>
                              </w:p>
                              <w:p w14:paraId="2123E61B" w14:textId="3FB69C77" w:rsidR="004729F8" w:rsidRPr="004729F8" w:rsidRDefault="00000000">
                                <w:pPr>
                                  <w:rPr>
                                    <w:color w:val="404040" w:themeColor="text1" w:themeTint="BF"/>
                                    <w:sz w:val="56"/>
                                    <w:szCs w:val="56"/>
                                  </w:rPr>
                                </w:pPr>
                                <w:sdt>
                                  <w:sdtPr>
                                    <w:rPr>
                                      <w:color w:val="404040" w:themeColor="text1" w:themeTint="BF"/>
                                      <w:sz w:val="56"/>
                                      <w:szCs w:val="5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4729F8" w:rsidRPr="004729F8">
                                      <w:rPr>
                                        <w:color w:val="404040" w:themeColor="text1" w:themeTint="BF"/>
                                        <w:sz w:val="56"/>
                                        <w:szCs w:val="56"/>
                                      </w:rPr>
                                      <w:t>What do they really show?</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1154E839" id="Text Box 16" o:spid="_x0000_s1056" type="#_x0000_t202" style="position:absolute;margin-left:245.1pt;margin-top:149.1pt;width:4in;height:84.25pt;z-index:251662336;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" filled="f" stroked="f" strokeweight=".5pt">
                    <v:textbox style="mso-fit-shape-to-text:t" inset="0,0,0,0">
                      <w:txbxContent>
                        <w:p w14:paraId="7B26F8CE" w14:textId="4B207E35" w:rsidR="004729F8" w:rsidRDefault="00000000">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003C07B7">
                                <w:rPr>
                                  <w:rFonts w:asciiTheme="majorHAnsi" w:eastAsiaTheme="majorEastAsia" w:hAnsiTheme="majorHAnsi" w:cstheme="majorBidi"/>
                                  <w:color w:val="262626" w:themeColor="text1" w:themeTint="D9"/>
                                  <w:sz w:val="72"/>
                                  <w:szCs w:val="72"/>
                                </w:rPr>
                                <w:t>The Science, Research, and Innovation Budget Tables</w:t>
                              </w:r>
                            </w:sdtContent>
                          </w:sdt>
                        </w:p>
                        <w:p w14:paraId="2123E61B" w14:textId="3FB69C77" w:rsidR="004729F8" w:rsidRPr="004729F8" w:rsidRDefault="00000000">
                          <w:pPr>
                            <w:rPr>
                              <w:color w:val="404040" w:themeColor="text1" w:themeTint="BF"/>
                              <w:sz w:val="56"/>
                              <w:szCs w:val="56"/>
                            </w:rPr>
                          </w:pPr>
                          <w:sdt>
                            <w:sdtPr>
                              <w:rPr>
                                <w:color w:val="404040" w:themeColor="text1" w:themeTint="BF"/>
                                <w:sz w:val="56"/>
                                <w:szCs w:val="56"/>
                              </w:rPr>
                              <w:alias w:val="Subtitle"/>
                              <w:tag w:val=""/>
                              <w:id w:val="-1148361611"/>
                              <w:dataBinding w:prefixMappings="xmlns:ns0='http://purl.org/dc/elements/1.1/' xmlns:ns1='http://schemas.openxmlformats.org/package/2006/metadata/core-properties' " w:xpath="/ns1:coreProperties[1]/ns0:subject[1]" w:storeItemID="{6C3C8BC8-F283-45AE-878A-BAB7291924A1}"/>
                              <w:text/>
                            </w:sdtPr>
                            <w:sdtContent>
                              <w:r w:rsidR="004729F8" w:rsidRPr="004729F8">
                                <w:rPr>
                                  <w:color w:val="404040" w:themeColor="text1" w:themeTint="BF"/>
                                  <w:sz w:val="56"/>
                                  <w:szCs w:val="56"/>
                                </w:rPr>
                                <w:t>What do they really show?</w:t>
                              </w:r>
                            </w:sdtContent>
                          </w:sdt>
                        </w:p>
                      </w:txbxContent>
                    </v:textbox>
                    <w10:wrap anchorx="page" anchory="page"/>
                  </v:shape>
                </w:pict>
              </mc:Fallback>
            </mc:AlternateContent>
          </w:r>
          <w:r w:rsidR="004729F8">
            <w:rPr>
              <w:sz w:val="40"/>
              <w:szCs w:val="40"/>
              <w:lang w:val="en-US" w:eastAsia="zh-CN"/>
            </w:rPr>
            <w:br w:type="page"/>
          </w:r>
        </w:p>
      </w:sdtContent>
    </w:sdt>
    <w:p w14:paraId="45503365" w14:textId="77777777" w:rsidR="00C76B1F" w:rsidRDefault="00C76B1F">
      <w:pPr>
        <w:spacing w:before="0" w:after="0"/>
        <w:rPr>
          <w:rFonts w:eastAsia="Aptos" w:cs="Times New Roman"/>
          <w:b/>
          <w:bCs/>
          <w:sz w:val="28"/>
          <w:szCs w:val="28"/>
          <w:lang w:eastAsia="en-US"/>
        </w:rPr>
      </w:pPr>
    </w:p>
    <w:p w14:paraId="4B585E4F" w14:textId="77777777" w:rsidR="00C76B1F" w:rsidRDefault="00C76B1F">
      <w:pPr>
        <w:spacing w:before="0" w:after="0"/>
        <w:rPr>
          <w:rFonts w:eastAsia="Aptos" w:cs="Times New Roman"/>
          <w:b/>
          <w:bCs/>
          <w:sz w:val="28"/>
          <w:szCs w:val="28"/>
          <w:lang w:eastAsia="en-US"/>
        </w:rPr>
      </w:pPr>
    </w:p>
    <w:p w14:paraId="263A8FB6" w14:textId="77777777" w:rsidR="00C76B1F" w:rsidRDefault="00C76B1F">
      <w:pPr>
        <w:spacing w:before="0" w:after="0"/>
        <w:rPr>
          <w:rFonts w:eastAsia="Aptos" w:cs="Times New Roman"/>
          <w:b/>
          <w:bCs/>
          <w:sz w:val="28"/>
          <w:szCs w:val="28"/>
          <w:lang w:eastAsia="en-US"/>
        </w:rPr>
      </w:pPr>
    </w:p>
    <w:p w14:paraId="59C76265" w14:textId="77777777" w:rsidR="00C76B1F" w:rsidRPr="007F23B8" w:rsidRDefault="00C76B1F">
      <w:pPr>
        <w:spacing w:before="0" w:after="0"/>
        <w:rPr>
          <w:rFonts w:eastAsia="Aptos" w:cs="Times New Roman"/>
          <w:b/>
          <w:bCs/>
          <w:sz w:val="20"/>
          <w:lang w:eastAsia="en-US"/>
        </w:rPr>
      </w:pPr>
    </w:p>
    <w:p w14:paraId="6E346790" w14:textId="0207AF57" w:rsidR="00C76B1F" w:rsidRPr="00A50876" w:rsidRDefault="00F35345">
      <w:pPr>
        <w:spacing w:before="0" w:after="0"/>
        <w:rPr>
          <w:rFonts w:eastAsia="Aptos" w:cs="Times New Roman"/>
          <w:i/>
          <w:iCs/>
          <w:sz w:val="20"/>
          <w:lang w:eastAsia="en-US"/>
        </w:rPr>
      </w:pPr>
      <w:r w:rsidRPr="00A50876">
        <w:rPr>
          <w:rFonts w:eastAsia="Aptos" w:cs="Times New Roman"/>
          <w:i/>
          <w:iCs/>
          <w:sz w:val="20"/>
          <w:lang w:eastAsia="en-US"/>
        </w:rPr>
        <w:t>The Science, Research, and Innovation Budget Tables</w:t>
      </w:r>
      <w:r w:rsidRPr="00A50876">
        <w:rPr>
          <w:rFonts w:eastAsia="Aptos" w:cs="Times New Roman"/>
          <w:i/>
          <w:iCs/>
          <w:sz w:val="20"/>
          <w:lang w:eastAsia="en-US"/>
        </w:rPr>
        <w:t xml:space="preserve">: </w:t>
      </w:r>
      <w:r w:rsidRPr="00A50876">
        <w:rPr>
          <w:rFonts w:eastAsia="Aptos" w:cs="Times New Roman"/>
          <w:i/>
          <w:iCs/>
          <w:sz w:val="20"/>
          <w:lang w:eastAsia="en-US"/>
        </w:rPr>
        <w:t>What do they really show?</w:t>
      </w:r>
    </w:p>
    <w:p w14:paraId="0C3481B9" w14:textId="74DE9125" w:rsidR="00F35345" w:rsidRPr="00A50876" w:rsidRDefault="00F35345">
      <w:pPr>
        <w:spacing w:before="0" w:after="0"/>
        <w:rPr>
          <w:rFonts w:eastAsia="Aptos" w:cs="Times New Roman"/>
          <w:sz w:val="20"/>
          <w:lang w:eastAsia="en-US"/>
        </w:rPr>
      </w:pPr>
      <w:r w:rsidRPr="00A50876">
        <w:rPr>
          <w:rFonts w:eastAsia="Aptos" w:cs="Times New Roman"/>
          <w:sz w:val="20"/>
          <w:lang w:eastAsia="en-US"/>
        </w:rPr>
        <w:t>The Acton Institute for Policy Research and Innovation</w:t>
      </w:r>
      <w:r w:rsidR="00A50876" w:rsidRPr="00A50876">
        <w:rPr>
          <w:rFonts w:eastAsia="Aptos" w:cs="Times New Roman"/>
          <w:sz w:val="20"/>
          <w:lang w:eastAsia="en-US"/>
        </w:rPr>
        <w:t>, @auManufacturing</w:t>
      </w:r>
    </w:p>
    <w:p w14:paraId="19F26FF8" w14:textId="79534435" w:rsidR="00F35345" w:rsidRPr="00A50876" w:rsidRDefault="00F35345">
      <w:pPr>
        <w:spacing w:before="0" w:after="0"/>
        <w:rPr>
          <w:rFonts w:eastAsia="Aptos" w:cs="Times New Roman"/>
          <w:sz w:val="20"/>
          <w:lang w:eastAsia="en-US"/>
        </w:rPr>
      </w:pPr>
      <w:r w:rsidRPr="00A50876">
        <w:rPr>
          <w:rFonts w:eastAsia="Aptos" w:cs="Times New Roman"/>
          <w:sz w:val="20"/>
          <w:lang w:eastAsia="en-US"/>
        </w:rPr>
        <w:t>March 202</w:t>
      </w:r>
      <w:r w:rsidR="005F6F78">
        <w:rPr>
          <w:rFonts w:eastAsia="Aptos" w:cs="Times New Roman"/>
          <w:sz w:val="20"/>
          <w:lang w:eastAsia="en-US"/>
        </w:rPr>
        <w:t>4</w:t>
      </w:r>
    </w:p>
    <w:p w14:paraId="77BEFA0F" w14:textId="0853BC86" w:rsidR="00F35345" w:rsidRPr="00A50876" w:rsidRDefault="00F35345">
      <w:pPr>
        <w:spacing w:before="0" w:after="0"/>
        <w:rPr>
          <w:rFonts w:eastAsia="Aptos" w:cs="Times New Roman"/>
          <w:sz w:val="20"/>
          <w:lang w:eastAsia="en-US"/>
        </w:rPr>
      </w:pPr>
      <w:r w:rsidRPr="00A50876">
        <w:rPr>
          <w:rFonts w:eastAsia="Aptos" w:cs="Times New Roman"/>
          <w:sz w:val="20"/>
          <w:lang w:eastAsia="en-US"/>
        </w:rPr>
        <w:t>Sydney</w:t>
      </w:r>
    </w:p>
    <w:p w14:paraId="35FFF30B" w14:textId="77777777" w:rsidR="00F35345" w:rsidRPr="00A50876" w:rsidRDefault="00F35345" w:rsidP="00F35345">
      <w:pPr>
        <w:spacing w:before="0" w:after="0"/>
        <w:rPr>
          <w:rFonts w:eastAsia="Aptos" w:cs="Times New Roman"/>
          <w:sz w:val="20"/>
          <w:lang w:eastAsia="en-US"/>
        </w:rPr>
      </w:pPr>
      <w:r w:rsidRPr="00A50876">
        <w:rPr>
          <w:rFonts w:eastAsia="Aptos" w:cs="Times New Roman"/>
          <w:sz w:val="20"/>
          <w:lang w:eastAsia="en-US"/>
        </w:rPr>
        <w:t>© John H Howard</w:t>
      </w:r>
    </w:p>
    <w:p w14:paraId="18BA4F5E" w14:textId="77777777" w:rsidR="00F35345" w:rsidRPr="00A50876" w:rsidRDefault="00F35345" w:rsidP="00F35345">
      <w:pPr>
        <w:spacing w:before="0" w:after="0"/>
        <w:rPr>
          <w:rFonts w:eastAsia="Aptos" w:cs="Times New Roman"/>
          <w:sz w:val="20"/>
          <w:lang w:eastAsia="en-US"/>
        </w:rPr>
      </w:pPr>
      <w:r w:rsidRPr="00A50876">
        <w:rPr>
          <w:rFonts w:eastAsia="Aptos" w:cs="Times New Roman"/>
          <w:sz w:val="20"/>
          <w:lang w:eastAsia="en-US"/>
        </w:rPr>
        <w:t>ISBN: 978-0-6450776-3-6</w:t>
      </w:r>
    </w:p>
    <w:p w14:paraId="06D79D4D" w14:textId="77777777" w:rsidR="00F35345" w:rsidRPr="00A50876" w:rsidRDefault="00F35345" w:rsidP="00F35345">
      <w:pPr>
        <w:spacing w:before="0" w:after="0"/>
        <w:rPr>
          <w:rFonts w:eastAsia="Aptos" w:cs="Times New Roman"/>
          <w:sz w:val="20"/>
          <w:lang w:eastAsia="en-US"/>
        </w:rPr>
      </w:pPr>
    </w:p>
    <w:p w14:paraId="57A0FD28" w14:textId="77777777" w:rsidR="00F35345" w:rsidRPr="00A50876" w:rsidRDefault="00F35345" w:rsidP="00F35345">
      <w:pPr>
        <w:spacing w:before="0" w:after="0"/>
        <w:rPr>
          <w:rFonts w:eastAsia="Aptos" w:cs="Times New Roman"/>
          <w:sz w:val="20"/>
          <w:lang w:eastAsia="en-US"/>
        </w:rPr>
      </w:pPr>
    </w:p>
    <w:p w14:paraId="2764347F" w14:textId="5539A92A" w:rsidR="00F35345" w:rsidRPr="00A50876" w:rsidRDefault="00F35345" w:rsidP="00F35345">
      <w:pPr>
        <w:spacing w:before="0" w:after="0"/>
        <w:rPr>
          <w:rFonts w:eastAsia="Aptos" w:cs="Times New Roman"/>
          <w:sz w:val="20"/>
          <w:lang w:eastAsia="en-US"/>
        </w:rPr>
      </w:pPr>
      <w:r w:rsidRPr="00A50876">
        <w:rPr>
          <w:rFonts w:eastAsia="Aptos" w:cs="Times New Roman"/>
          <w:sz w:val="20"/>
          <w:lang w:eastAsia="en-US"/>
        </w:rPr>
        <w:t xml:space="preserve">This publication is copyrighted. Other than uses permitted under the Copyright Act 1968, no part can be reproduced by any process without attribution. </w:t>
      </w:r>
    </w:p>
    <w:p w14:paraId="347451D3" w14:textId="77777777" w:rsidR="00C76B1F" w:rsidRDefault="00C76B1F">
      <w:pPr>
        <w:spacing w:before="0" w:after="0"/>
        <w:rPr>
          <w:rFonts w:eastAsia="Aptos" w:cs="Times New Roman"/>
          <w:b/>
          <w:bCs/>
          <w:sz w:val="28"/>
          <w:szCs w:val="28"/>
          <w:lang w:eastAsia="en-US"/>
        </w:rPr>
      </w:pPr>
    </w:p>
    <w:p w14:paraId="3B96A527" w14:textId="4FE23767" w:rsidR="00497B85" w:rsidRDefault="00497B85">
      <w:pPr>
        <w:spacing w:before="0" w:after="0"/>
        <w:rPr>
          <w:rFonts w:eastAsia="Aptos" w:cs="Times New Roman"/>
          <w:b/>
          <w:bCs/>
          <w:sz w:val="28"/>
          <w:szCs w:val="28"/>
          <w:lang w:eastAsia="en-US"/>
        </w:rPr>
      </w:pPr>
      <w:r>
        <w:rPr>
          <w:rFonts w:eastAsia="Aptos" w:cs="Times New Roman"/>
          <w:b/>
          <w:bCs/>
          <w:sz w:val="28"/>
          <w:szCs w:val="28"/>
          <w:lang w:eastAsia="en-US"/>
        </w:rPr>
        <w:br w:type="page"/>
      </w:r>
    </w:p>
    <w:p w14:paraId="4A6D7A1A" w14:textId="77777777" w:rsidR="00875974" w:rsidRDefault="006C49F5" w:rsidP="004729F8">
      <w:pPr>
        <w:spacing w:before="0" w:after="0"/>
        <w:jc w:val="center"/>
        <w:rPr>
          <w:noProof/>
        </w:rPr>
      </w:pPr>
      <w:r w:rsidRPr="006C49F5">
        <w:rPr>
          <w:rFonts w:eastAsia="Aptos" w:cs="Times New Roman"/>
          <w:b/>
          <w:bCs/>
          <w:sz w:val="28"/>
          <w:szCs w:val="28"/>
          <w:lang w:eastAsia="en-US"/>
        </w:rPr>
        <w:lastRenderedPageBreak/>
        <w:t>Table of Contents</w:t>
      </w:r>
      <w:r w:rsidR="004729F8" w:rsidRPr="006C49F5">
        <w:rPr>
          <w:rFonts w:eastAsia="Aptos" w:cs="Times New Roman"/>
          <w:b/>
          <w:bCs/>
          <w:sz w:val="28"/>
          <w:szCs w:val="28"/>
          <w:lang w:eastAsia="en-US"/>
        </w:rPr>
        <w:t xml:space="preserve"> </w:t>
      </w:r>
      <w:r w:rsidR="004729F8">
        <w:rPr>
          <w:rFonts w:eastAsia="Aptos" w:cs="Times New Roman"/>
          <w:b/>
          <w:bCs/>
          <w:sz w:val="28"/>
          <w:szCs w:val="28"/>
          <w:lang w:eastAsia="en-US"/>
        </w:rPr>
        <w:fldChar w:fldCharType="begin"/>
      </w:r>
      <w:r w:rsidR="004729F8" w:rsidRPr="006C49F5">
        <w:rPr>
          <w:rFonts w:eastAsia="Aptos" w:cs="Times New Roman"/>
          <w:b/>
          <w:bCs/>
          <w:sz w:val="28"/>
          <w:szCs w:val="28"/>
          <w:lang w:eastAsia="en-US"/>
        </w:rPr>
        <w:instrText xml:space="preserve"> TOC \o "1-3" \h \z \u </w:instrText>
      </w:r>
      <w:r w:rsidR="004729F8">
        <w:rPr>
          <w:rFonts w:eastAsia="Aptos" w:cs="Times New Roman"/>
          <w:b/>
          <w:bCs/>
          <w:sz w:val="28"/>
          <w:szCs w:val="28"/>
          <w:lang w:eastAsia="en-US"/>
        </w:rPr>
        <w:fldChar w:fldCharType="separate"/>
      </w:r>
    </w:p>
    <w:p w14:paraId="64F2176D" w14:textId="4C75F60F" w:rsidR="00875974" w:rsidRDefault="00875974">
      <w:pPr>
        <w:pStyle w:val="TOC1"/>
        <w:rPr>
          <w:rFonts w:asciiTheme="minorHAnsi" w:eastAsiaTheme="minorEastAsia" w:hAnsiTheme="minorHAnsi" w:cstheme="minorBidi"/>
          <w:bCs w:val="0"/>
          <w:noProof/>
          <w:kern w:val="2"/>
          <w:sz w:val="24"/>
          <w:szCs w:val="24"/>
          <w14:ligatures w14:val="standardContextual"/>
        </w:rPr>
      </w:pPr>
      <w:hyperlink w:anchor="_Toc160445113" w:history="1">
        <w:r w:rsidRPr="00113289">
          <w:rPr>
            <w:rStyle w:val="Hyperlink"/>
            <w:rFonts w:eastAsiaTheme="majorEastAsia"/>
            <w:noProof/>
          </w:rPr>
          <w:t>Introduction</w:t>
        </w:r>
        <w:r>
          <w:rPr>
            <w:noProof/>
            <w:webHidden/>
          </w:rPr>
          <w:tab/>
        </w:r>
        <w:r>
          <w:rPr>
            <w:noProof/>
            <w:webHidden/>
          </w:rPr>
          <w:fldChar w:fldCharType="begin"/>
        </w:r>
        <w:r>
          <w:rPr>
            <w:noProof/>
            <w:webHidden/>
          </w:rPr>
          <w:instrText xml:space="preserve"> PAGEREF _Toc160445113 \h </w:instrText>
        </w:r>
        <w:r>
          <w:rPr>
            <w:noProof/>
            <w:webHidden/>
          </w:rPr>
        </w:r>
        <w:r>
          <w:rPr>
            <w:noProof/>
            <w:webHidden/>
          </w:rPr>
          <w:fldChar w:fldCharType="separate"/>
        </w:r>
        <w:r>
          <w:rPr>
            <w:noProof/>
            <w:webHidden/>
          </w:rPr>
          <w:t>1</w:t>
        </w:r>
        <w:r>
          <w:rPr>
            <w:noProof/>
            <w:webHidden/>
          </w:rPr>
          <w:fldChar w:fldCharType="end"/>
        </w:r>
      </w:hyperlink>
    </w:p>
    <w:p w14:paraId="3679A496" w14:textId="568BE34C" w:rsidR="00875974" w:rsidRDefault="00875974">
      <w:pPr>
        <w:pStyle w:val="TOC1"/>
        <w:rPr>
          <w:rFonts w:asciiTheme="minorHAnsi" w:eastAsiaTheme="minorEastAsia" w:hAnsiTheme="minorHAnsi" w:cstheme="minorBidi"/>
          <w:bCs w:val="0"/>
          <w:noProof/>
          <w:kern w:val="2"/>
          <w:sz w:val="24"/>
          <w:szCs w:val="24"/>
          <w14:ligatures w14:val="standardContextual"/>
        </w:rPr>
      </w:pPr>
      <w:hyperlink w:anchor="_Toc160445114" w:history="1">
        <w:r w:rsidRPr="00113289">
          <w:rPr>
            <w:rStyle w:val="Hyperlink"/>
            <w:rFonts w:eastAsia="Aptos"/>
            <w:noProof/>
          </w:rPr>
          <w:t>Background</w:t>
        </w:r>
        <w:r>
          <w:rPr>
            <w:noProof/>
            <w:webHidden/>
          </w:rPr>
          <w:tab/>
        </w:r>
        <w:r>
          <w:rPr>
            <w:noProof/>
            <w:webHidden/>
          </w:rPr>
          <w:fldChar w:fldCharType="begin"/>
        </w:r>
        <w:r>
          <w:rPr>
            <w:noProof/>
            <w:webHidden/>
          </w:rPr>
          <w:instrText xml:space="preserve"> PAGEREF _Toc160445114 \h </w:instrText>
        </w:r>
        <w:r>
          <w:rPr>
            <w:noProof/>
            <w:webHidden/>
          </w:rPr>
        </w:r>
        <w:r>
          <w:rPr>
            <w:noProof/>
            <w:webHidden/>
          </w:rPr>
          <w:fldChar w:fldCharType="separate"/>
        </w:r>
        <w:r>
          <w:rPr>
            <w:noProof/>
            <w:webHidden/>
          </w:rPr>
          <w:t>1</w:t>
        </w:r>
        <w:r>
          <w:rPr>
            <w:noProof/>
            <w:webHidden/>
          </w:rPr>
          <w:fldChar w:fldCharType="end"/>
        </w:r>
      </w:hyperlink>
    </w:p>
    <w:p w14:paraId="73ABEF39" w14:textId="22190074" w:rsidR="00875974" w:rsidRDefault="00875974">
      <w:pPr>
        <w:pStyle w:val="TOC1"/>
        <w:rPr>
          <w:rFonts w:asciiTheme="minorHAnsi" w:eastAsiaTheme="minorEastAsia" w:hAnsiTheme="minorHAnsi" w:cstheme="minorBidi"/>
          <w:bCs w:val="0"/>
          <w:noProof/>
          <w:kern w:val="2"/>
          <w:sz w:val="24"/>
          <w:szCs w:val="24"/>
          <w14:ligatures w14:val="standardContextual"/>
        </w:rPr>
      </w:pPr>
      <w:hyperlink w:anchor="_Toc160445115" w:history="1">
        <w:r w:rsidRPr="00113289">
          <w:rPr>
            <w:rStyle w:val="Hyperlink"/>
            <w:rFonts w:eastAsiaTheme="majorEastAsia"/>
            <w:noProof/>
          </w:rPr>
          <w:t>The 3% target of R&amp;D expenditure as a proportion of GDP</w:t>
        </w:r>
        <w:r>
          <w:rPr>
            <w:noProof/>
            <w:webHidden/>
          </w:rPr>
          <w:tab/>
        </w:r>
        <w:r>
          <w:rPr>
            <w:noProof/>
            <w:webHidden/>
          </w:rPr>
          <w:fldChar w:fldCharType="begin"/>
        </w:r>
        <w:r>
          <w:rPr>
            <w:noProof/>
            <w:webHidden/>
          </w:rPr>
          <w:instrText xml:space="preserve"> PAGEREF _Toc160445115 \h </w:instrText>
        </w:r>
        <w:r>
          <w:rPr>
            <w:noProof/>
            <w:webHidden/>
          </w:rPr>
        </w:r>
        <w:r>
          <w:rPr>
            <w:noProof/>
            <w:webHidden/>
          </w:rPr>
          <w:fldChar w:fldCharType="separate"/>
        </w:r>
        <w:r>
          <w:rPr>
            <w:noProof/>
            <w:webHidden/>
          </w:rPr>
          <w:t>2</w:t>
        </w:r>
        <w:r>
          <w:rPr>
            <w:noProof/>
            <w:webHidden/>
          </w:rPr>
          <w:fldChar w:fldCharType="end"/>
        </w:r>
      </w:hyperlink>
    </w:p>
    <w:p w14:paraId="26054AA8" w14:textId="29664254" w:rsidR="00875974" w:rsidRDefault="00875974">
      <w:pPr>
        <w:pStyle w:val="TOC1"/>
        <w:rPr>
          <w:rFonts w:asciiTheme="minorHAnsi" w:eastAsiaTheme="minorEastAsia" w:hAnsiTheme="minorHAnsi" w:cstheme="minorBidi"/>
          <w:bCs w:val="0"/>
          <w:noProof/>
          <w:kern w:val="2"/>
          <w:sz w:val="24"/>
          <w:szCs w:val="24"/>
          <w14:ligatures w14:val="standardContextual"/>
        </w:rPr>
      </w:pPr>
      <w:hyperlink w:anchor="_Toc160445116" w:history="1">
        <w:r w:rsidRPr="00113289">
          <w:rPr>
            <w:rStyle w:val="Hyperlink"/>
            <w:rFonts w:eastAsia="Aptos"/>
            <w:noProof/>
          </w:rPr>
          <w:t>Trends in Australian Government R&amp;D investment as a proportion of GDP</w:t>
        </w:r>
        <w:r>
          <w:rPr>
            <w:noProof/>
            <w:webHidden/>
          </w:rPr>
          <w:tab/>
        </w:r>
        <w:r>
          <w:rPr>
            <w:noProof/>
            <w:webHidden/>
          </w:rPr>
          <w:fldChar w:fldCharType="begin"/>
        </w:r>
        <w:r>
          <w:rPr>
            <w:noProof/>
            <w:webHidden/>
          </w:rPr>
          <w:instrText xml:space="preserve"> PAGEREF _Toc160445116 \h </w:instrText>
        </w:r>
        <w:r>
          <w:rPr>
            <w:noProof/>
            <w:webHidden/>
          </w:rPr>
        </w:r>
        <w:r>
          <w:rPr>
            <w:noProof/>
            <w:webHidden/>
          </w:rPr>
          <w:fldChar w:fldCharType="separate"/>
        </w:r>
        <w:r>
          <w:rPr>
            <w:noProof/>
            <w:webHidden/>
          </w:rPr>
          <w:t>4</w:t>
        </w:r>
        <w:r>
          <w:rPr>
            <w:noProof/>
            <w:webHidden/>
          </w:rPr>
          <w:fldChar w:fldCharType="end"/>
        </w:r>
      </w:hyperlink>
    </w:p>
    <w:p w14:paraId="340DC6B4" w14:textId="73DA2652" w:rsidR="00875974" w:rsidRDefault="00875974">
      <w:pPr>
        <w:pStyle w:val="TOC1"/>
        <w:rPr>
          <w:rFonts w:asciiTheme="minorHAnsi" w:eastAsiaTheme="minorEastAsia" w:hAnsiTheme="minorHAnsi" w:cstheme="minorBidi"/>
          <w:bCs w:val="0"/>
          <w:noProof/>
          <w:kern w:val="2"/>
          <w:sz w:val="24"/>
          <w:szCs w:val="24"/>
          <w14:ligatures w14:val="standardContextual"/>
        </w:rPr>
      </w:pPr>
      <w:hyperlink w:anchor="_Toc160445117" w:history="1">
        <w:r w:rsidRPr="00113289">
          <w:rPr>
            <w:rStyle w:val="Hyperlink"/>
            <w:rFonts w:eastAsia="Aptos"/>
            <w:noProof/>
          </w:rPr>
          <w:t>Inflation-adjusted R&amp;D expenditure</w:t>
        </w:r>
        <w:r>
          <w:rPr>
            <w:noProof/>
            <w:webHidden/>
          </w:rPr>
          <w:tab/>
        </w:r>
        <w:r>
          <w:rPr>
            <w:noProof/>
            <w:webHidden/>
          </w:rPr>
          <w:fldChar w:fldCharType="begin"/>
        </w:r>
        <w:r>
          <w:rPr>
            <w:noProof/>
            <w:webHidden/>
          </w:rPr>
          <w:instrText xml:space="preserve"> PAGEREF _Toc160445117 \h </w:instrText>
        </w:r>
        <w:r>
          <w:rPr>
            <w:noProof/>
            <w:webHidden/>
          </w:rPr>
        </w:r>
        <w:r>
          <w:rPr>
            <w:noProof/>
            <w:webHidden/>
          </w:rPr>
          <w:fldChar w:fldCharType="separate"/>
        </w:r>
        <w:r>
          <w:rPr>
            <w:noProof/>
            <w:webHidden/>
          </w:rPr>
          <w:t>5</w:t>
        </w:r>
        <w:r>
          <w:rPr>
            <w:noProof/>
            <w:webHidden/>
          </w:rPr>
          <w:fldChar w:fldCharType="end"/>
        </w:r>
      </w:hyperlink>
    </w:p>
    <w:p w14:paraId="0F8CBFA9" w14:textId="0FCB1CD6" w:rsidR="00875974" w:rsidRDefault="00875974">
      <w:pPr>
        <w:pStyle w:val="TOC2"/>
        <w:tabs>
          <w:tab w:val="right" w:leader="dot" w:pos="9317"/>
        </w:tabs>
        <w:rPr>
          <w:rFonts w:eastAsiaTheme="minorEastAsia" w:cstheme="minorBidi"/>
          <w:i w:val="0"/>
          <w:iCs w:val="0"/>
          <w:noProof/>
          <w:kern w:val="2"/>
          <w:sz w:val="24"/>
          <w:szCs w:val="24"/>
          <w14:ligatures w14:val="standardContextual"/>
        </w:rPr>
      </w:pPr>
      <w:hyperlink w:anchor="_Toc160445118" w:history="1">
        <w:r w:rsidRPr="00113289">
          <w:rPr>
            <w:rStyle w:val="Hyperlink"/>
            <w:rFonts w:eastAsia="Aptos"/>
            <w:noProof/>
          </w:rPr>
          <w:t>Overall trend</w:t>
        </w:r>
        <w:r>
          <w:rPr>
            <w:noProof/>
            <w:webHidden/>
          </w:rPr>
          <w:tab/>
        </w:r>
        <w:r>
          <w:rPr>
            <w:noProof/>
            <w:webHidden/>
          </w:rPr>
          <w:fldChar w:fldCharType="begin"/>
        </w:r>
        <w:r>
          <w:rPr>
            <w:noProof/>
            <w:webHidden/>
          </w:rPr>
          <w:instrText xml:space="preserve"> PAGEREF _Toc160445118 \h </w:instrText>
        </w:r>
        <w:r>
          <w:rPr>
            <w:noProof/>
            <w:webHidden/>
          </w:rPr>
        </w:r>
        <w:r>
          <w:rPr>
            <w:noProof/>
            <w:webHidden/>
          </w:rPr>
          <w:fldChar w:fldCharType="separate"/>
        </w:r>
        <w:r>
          <w:rPr>
            <w:noProof/>
            <w:webHidden/>
          </w:rPr>
          <w:t>5</w:t>
        </w:r>
        <w:r>
          <w:rPr>
            <w:noProof/>
            <w:webHidden/>
          </w:rPr>
          <w:fldChar w:fldCharType="end"/>
        </w:r>
      </w:hyperlink>
    </w:p>
    <w:p w14:paraId="25A168D3" w14:textId="61287B92" w:rsidR="00875974" w:rsidRDefault="00875974">
      <w:pPr>
        <w:pStyle w:val="TOC2"/>
        <w:tabs>
          <w:tab w:val="right" w:leader="dot" w:pos="9317"/>
        </w:tabs>
        <w:rPr>
          <w:rFonts w:eastAsiaTheme="minorEastAsia" w:cstheme="minorBidi"/>
          <w:i w:val="0"/>
          <w:iCs w:val="0"/>
          <w:noProof/>
          <w:kern w:val="2"/>
          <w:sz w:val="24"/>
          <w:szCs w:val="24"/>
          <w14:ligatures w14:val="standardContextual"/>
        </w:rPr>
      </w:pPr>
      <w:hyperlink w:anchor="_Toc160445119" w:history="1">
        <w:r w:rsidRPr="00113289">
          <w:rPr>
            <w:rStyle w:val="Hyperlink"/>
            <w:rFonts w:eastAsia="Aptos"/>
            <w:noProof/>
          </w:rPr>
          <w:t>Investments by sector</w:t>
        </w:r>
        <w:r>
          <w:rPr>
            <w:noProof/>
            <w:webHidden/>
          </w:rPr>
          <w:tab/>
        </w:r>
        <w:r>
          <w:rPr>
            <w:noProof/>
            <w:webHidden/>
          </w:rPr>
          <w:fldChar w:fldCharType="begin"/>
        </w:r>
        <w:r>
          <w:rPr>
            <w:noProof/>
            <w:webHidden/>
          </w:rPr>
          <w:instrText xml:space="preserve"> PAGEREF _Toc160445119 \h </w:instrText>
        </w:r>
        <w:r>
          <w:rPr>
            <w:noProof/>
            <w:webHidden/>
          </w:rPr>
        </w:r>
        <w:r>
          <w:rPr>
            <w:noProof/>
            <w:webHidden/>
          </w:rPr>
          <w:fldChar w:fldCharType="separate"/>
        </w:r>
        <w:r>
          <w:rPr>
            <w:noProof/>
            <w:webHidden/>
          </w:rPr>
          <w:t>6</w:t>
        </w:r>
        <w:r>
          <w:rPr>
            <w:noProof/>
            <w:webHidden/>
          </w:rPr>
          <w:fldChar w:fldCharType="end"/>
        </w:r>
      </w:hyperlink>
    </w:p>
    <w:p w14:paraId="3C3F237F" w14:textId="104D1F69" w:rsidR="00875974" w:rsidRDefault="00875974">
      <w:pPr>
        <w:pStyle w:val="TOC2"/>
        <w:tabs>
          <w:tab w:val="right" w:leader="dot" w:pos="9317"/>
        </w:tabs>
        <w:rPr>
          <w:rFonts w:eastAsiaTheme="minorEastAsia" w:cstheme="minorBidi"/>
          <w:i w:val="0"/>
          <w:iCs w:val="0"/>
          <w:noProof/>
          <w:kern w:val="2"/>
          <w:sz w:val="24"/>
          <w:szCs w:val="24"/>
          <w14:ligatures w14:val="standardContextual"/>
        </w:rPr>
      </w:pPr>
      <w:hyperlink w:anchor="_Toc160445120" w:history="1">
        <w:r w:rsidRPr="00113289">
          <w:rPr>
            <w:rStyle w:val="Hyperlink"/>
            <w:rFonts w:eastAsia="Aptos"/>
            <w:noProof/>
          </w:rPr>
          <w:t>Investments according to socio-economic objective</w:t>
        </w:r>
        <w:r>
          <w:rPr>
            <w:noProof/>
            <w:webHidden/>
          </w:rPr>
          <w:tab/>
        </w:r>
        <w:r>
          <w:rPr>
            <w:noProof/>
            <w:webHidden/>
          </w:rPr>
          <w:fldChar w:fldCharType="begin"/>
        </w:r>
        <w:r>
          <w:rPr>
            <w:noProof/>
            <w:webHidden/>
          </w:rPr>
          <w:instrText xml:space="preserve"> PAGEREF _Toc160445120 \h </w:instrText>
        </w:r>
        <w:r>
          <w:rPr>
            <w:noProof/>
            <w:webHidden/>
          </w:rPr>
        </w:r>
        <w:r>
          <w:rPr>
            <w:noProof/>
            <w:webHidden/>
          </w:rPr>
          <w:fldChar w:fldCharType="separate"/>
        </w:r>
        <w:r>
          <w:rPr>
            <w:noProof/>
            <w:webHidden/>
          </w:rPr>
          <w:t>6</w:t>
        </w:r>
        <w:r>
          <w:rPr>
            <w:noProof/>
            <w:webHidden/>
          </w:rPr>
          <w:fldChar w:fldCharType="end"/>
        </w:r>
      </w:hyperlink>
    </w:p>
    <w:p w14:paraId="5D41857E" w14:textId="0D6B6C85" w:rsidR="00875974" w:rsidRDefault="00875974">
      <w:pPr>
        <w:pStyle w:val="TOC1"/>
        <w:rPr>
          <w:rFonts w:asciiTheme="minorHAnsi" w:eastAsiaTheme="minorEastAsia" w:hAnsiTheme="minorHAnsi" w:cstheme="minorBidi"/>
          <w:bCs w:val="0"/>
          <w:noProof/>
          <w:kern w:val="2"/>
          <w:sz w:val="24"/>
          <w:szCs w:val="24"/>
          <w14:ligatures w14:val="standardContextual"/>
        </w:rPr>
      </w:pPr>
      <w:hyperlink w:anchor="_Toc160445121" w:history="1">
        <w:r w:rsidRPr="00113289">
          <w:rPr>
            <w:rStyle w:val="Hyperlink"/>
            <w:rFonts w:eastAsiaTheme="majorEastAsia"/>
            <w:noProof/>
          </w:rPr>
          <w:t>The structural allocation of R&amp;D expenditure</w:t>
        </w:r>
        <w:r>
          <w:rPr>
            <w:noProof/>
            <w:webHidden/>
          </w:rPr>
          <w:tab/>
        </w:r>
        <w:r>
          <w:rPr>
            <w:noProof/>
            <w:webHidden/>
          </w:rPr>
          <w:fldChar w:fldCharType="begin"/>
        </w:r>
        <w:r>
          <w:rPr>
            <w:noProof/>
            <w:webHidden/>
          </w:rPr>
          <w:instrText xml:space="preserve"> PAGEREF _Toc160445121 \h </w:instrText>
        </w:r>
        <w:r>
          <w:rPr>
            <w:noProof/>
            <w:webHidden/>
          </w:rPr>
        </w:r>
        <w:r>
          <w:rPr>
            <w:noProof/>
            <w:webHidden/>
          </w:rPr>
          <w:fldChar w:fldCharType="separate"/>
        </w:r>
        <w:r>
          <w:rPr>
            <w:noProof/>
            <w:webHidden/>
          </w:rPr>
          <w:t>7</w:t>
        </w:r>
        <w:r>
          <w:rPr>
            <w:noProof/>
            <w:webHidden/>
          </w:rPr>
          <w:fldChar w:fldCharType="end"/>
        </w:r>
      </w:hyperlink>
    </w:p>
    <w:p w14:paraId="35AB221E" w14:textId="39E88774" w:rsidR="00875974" w:rsidRDefault="00875974">
      <w:pPr>
        <w:pStyle w:val="TOC2"/>
        <w:tabs>
          <w:tab w:val="right" w:leader="dot" w:pos="9317"/>
        </w:tabs>
        <w:rPr>
          <w:rFonts w:eastAsiaTheme="minorEastAsia" w:cstheme="minorBidi"/>
          <w:i w:val="0"/>
          <w:iCs w:val="0"/>
          <w:noProof/>
          <w:kern w:val="2"/>
          <w:sz w:val="24"/>
          <w:szCs w:val="24"/>
          <w14:ligatures w14:val="standardContextual"/>
        </w:rPr>
      </w:pPr>
      <w:hyperlink w:anchor="_Toc160445122" w:history="1">
        <w:r w:rsidRPr="00113289">
          <w:rPr>
            <w:rStyle w:val="Hyperlink"/>
            <w:rFonts w:eastAsia="Aptos"/>
            <w:noProof/>
          </w:rPr>
          <w:t>Investment among portfolios</w:t>
        </w:r>
        <w:r>
          <w:rPr>
            <w:noProof/>
            <w:webHidden/>
          </w:rPr>
          <w:tab/>
        </w:r>
        <w:r>
          <w:rPr>
            <w:noProof/>
            <w:webHidden/>
          </w:rPr>
          <w:fldChar w:fldCharType="begin"/>
        </w:r>
        <w:r>
          <w:rPr>
            <w:noProof/>
            <w:webHidden/>
          </w:rPr>
          <w:instrText xml:space="preserve"> PAGEREF _Toc160445122 \h </w:instrText>
        </w:r>
        <w:r>
          <w:rPr>
            <w:noProof/>
            <w:webHidden/>
          </w:rPr>
        </w:r>
        <w:r>
          <w:rPr>
            <w:noProof/>
            <w:webHidden/>
          </w:rPr>
          <w:fldChar w:fldCharType="separate"/>
        </w:r>
        <w:r>
          <w:rPr>
            <w:noProof/>
            <w:webHidden/>
          </w:rPr>
          <w:t>7</w:t>
        </w:r>
        <w:r>
          <w:rPr>
            <w:noProof/>
            <w:webHidden/>
          </w:rPr>
          <w:fldChar w:fldCharType="end"/>
        </w:r>
      </w:hyperlink>
    </w:p>
    <w:p w14:paraId="0148AF98" w14:textId="4D5266AF" w:rsidR="00875974" w:rsidRDefault="00875974">
      <w:pPr>
        <w:pStyle w:val="TOC2"/>
        <w:tabs>
          <w:tab w:val="right" w:leader="dot" w:pos="9317"/>
        </w:tabs>
        <w:rPr>
          <w:rFonts w:eastAsiaTheme="minorEastAsia" w:cstheme="minorBidi"/>
          <w:i w:val="0"/>
          <w:iCs w:val="0"/>
          <w:noProof/>
          <w:kern w:val="2"/>
          <w:sz w:val="24"/>
          <w:szCs w:val="24"/>
          <w14:ligatures w14:val="standardContextual"/>
        </w:rPr>
      </w:pPr>
      <w:hyperlink w:anchor="_Toc160445123" w:history="1">
        <w:r w:rsidRPr="00113289">
          <w:rPr>
            <w:rStyle w:val="Hyperlink"/>
            <w:rFonts w:eastAsiaTheme="majorEastAsia"/>
            <w:noProof/>
          </w:rPr>
          <w:t>Investment among programs</w:t>
        </w:r>
        <w:r>
          <w:rPr>
            <w:noProof/>
            <w:webHidden/>
          </w:rPr>
          <w:tab/>
        </w:r>
        <w:r>
          <w:rPr>
            <w:noProof/>
            <w:webHidden/>
          </w:rPr>
          <w:fldChar w:fldCharType="begin"/>
        </w:r>
        <w:r>
          <w:rPr>
            <w:noProof/>
            <w:webHidden/>
          </w:rPr>
          <w:instrText xml:space="preserve"> PAGEREF _Toc160445123 \h </w:instrText>
        </w:r>
        <w:r>
          <w:rPr>
            <w:noProof/>
            <w:webHidden/>
          </w:rPr>
        </w:r>
        <w:r>
          <w:rPr>
            <w:noProof/>
            <w:webHidden/>
          </w:rPr>
          <w:fldChar w:fldCharType="separate"/>
        </w:r>
        <w:r>
          <w:rPr>
            <w:noProof/>
            <w:webHidden/>
          </w:rPr>
          <w:t>8</w:t>
        </w:r>
        <w:r>
          <w:rPr>
            <w:noProof/>
            <w:webHidden/>
          </w:rPr>
          <w:fldChar w:fldCharType="end"/>
        </w:r>
      </w:hyperlink>
    </w:p>
    <w:p w14:paraId="5C8513C3" w14:textId="6B00E717" w:rsidR="00875974" w:rsidRDefault="00875974">
      <w:pPr>
        <w:pStyle w:val="TOC2"/>
        <w:tabs>
          <w:tab w:val="right" w:leader="dot" w:pos="9317"/>
        </w:tabs>
        <w:rPr>
          <w:rFonts w:eastAsiaTheme="minorEastAsia" w:cstheme="minorBidi"/>
          <w:i w:val="0"/>
          <w:iCs w:val="0"/>
          <w:noProof/>
          <w:kern w:val="2"/>
          <w:sz w:val="24"/>
          <w:szCs w:val="24"/>
          <w14:ligatures w14:val="standardContextual"/>
        </w:rPr>
      </w:pPr>
      <w:hyperlink w:anchor="_Toc160445124" w:history="1">
        <w:r w:rsidRPr="00113289">
          <w:rPr>
            <w:rStyle w:val="Hyperlink"/>
            <w:rFonts w:eastAsia="Aptos"/>
            <w:noProof/>
          </w:rPr>
          <w:t>Socio-economic (SEO) investments in major programs</w:t>
        </w:r>
        <w:r>
          <w:rPr>
            <w:noProof/>
            <w:webHidden/>
          </w:rPr>
          <w:tab/>
        </w:r>
        <w:r>
          <w:rPr>
            <w:noProof/>
            <w:webHidden/>
          </w:rPr>
          <w:fldChar w:fldCharType="begin"/>
        </w:r>
        <w:r>
          <w:rPr>
            <w:noProof/>
            <w:webHidden/>
          </w:rPr>
          <w:instrText xml:space="preserve"> PAGEREF _Toc160445124 \h </w:instrText>
        </w:r>
        <w:r>
          <w:rPr>
            <w:noProof/>
            <w:webHidden/>
          </w:rPr>
        </w:r>
        <w:r>
          <w:rPr>
            <w:noProof/>
            <w:webHidden/>
          </w:rPr>
          <w:fldChar w:fldCharType="separate"/>
        </w:r>
        <w:r>
          <w:rPr>
            <w:noProof/>
            <w:webHidden/>
          </w:rPr>
          <w:t>10</w:t>
        </w:r>
        <w:r>
          <w:rPr>
            <w:noProof/>
            <w:webHidden/>
          </w:rPr>
          <w:fldChar w:fldCharType="end"/>
        </w:r>
      </w:hyperlink>
    </w:p>
    <w:p w14:paraId="78540CDC" w14:textId="6609228F" w:rsidR="00875974" w:rsidRDefault="00875974">
      <w:pPr>
        <w:pStyle w:val="TOC2"/>
        <w:tabs>
          <w:tab w:val="right" w:leader="dot" w:pos="9317"/>
        </w:tabs>
        <w:rPr>
          <w:rFonts w:eastAsiaTheme="minorEastAsia" w:cstheme="minorBidi"/>
          <w:i w:val="0"/>
          <w:iCs w:val="0"/>
          <w:noProof/>
          <w:kern w:val="2"/>
          <w:sz w:val="24"/>
          <w:szCs w:val="24"/>
          <w14:ligatures w14:val="standardContextual"/>
        </w:rPr>
      </w:pPr>
      <w:hyperlink w:anchor="_Toc160445125" w:history="1">
        <w:r w:rsidRPr="00113289">
          <w:rPr>
            <w:rStyle w:val="Hyperlink"/>
            <w:rFonts w:eastAsia="Aptos"/>
            <w:noProof/>
          </w:rPr>
          <w:t>Distribution by program lifespan</w:t>
        </w:r>
        <w:r>
          <w:rPr>
            <w:noProof/>
            <w:webHidden/>
          </w:rPr>
          <w:tab/>
        </w:r>
        <w:r>
          <w:rPr>
            <w:noProof/>
            <w:webHidden/>
          </w:rPr>
          <w:fldChar w:fldCharType="begin"/>
        </w:r>
        <w:r>
          <w:rPr>
            <w:noProof/>
            <w:webHidden/>
          </w:rPr>
          <w:instrText xml:space="preserve"> PAGEREF _Toc160445125 \h </w:instrText>
        </w:r>
        <w:r>
          <w:rPr>
            <w:noProof/>
            <w:webHidden/>
          </w:rPr>
        </w:r>
        <w:r>
          <w:rPr>
            <w:noProof/>
            <w:webHidden/>
          </w:rPr>
          <w:fldChar w:fldCharType="separate"/>
        </w:r>
        <w:r>
          <w:rPr>
            <w:noProof/>
            <w:webHidden/>
          </w:rPr>
          <w:t>13</w:t>
        </w:r>
        <w:r>
          <w:rPr>
            <w:noProof/>
            <w:webHidden/>
          </w:rPr>
          <w:fldChar w:fldCharType="end"/>
        </w:r>
      </w:hyperlink>
    </w:p>
    <w:p w14:paraId="4B7E443D" w14:textId="4A3188BB" w:rsidR="00875974" w:rsidRDefault="00875974">
      <w:pPr>
        <w:pStyle w:val="TOC2"/>
        <w:tabs>
          <w:tab w:val="right" w:leader="dot" w:pos="9317"/>
        </w:tabs>
        <w:rPr>
          <w:rFonts w:eastAsiaTheme="minorEastAsia" w:cstheme="minorBidi"/>
          <w:i w:val="0"/>
          <w:iCs w:val="0"/>
          <w:noProof/>
          <w:kern w:val="2"/>
          <w:sz w:val="24"/>
          <w:szCs w:val="24"/>
          <w14:ligatures w14:val="standardContextual"/>
        </w:rPr>
      </w:pPr>
      <w:hyperlink w:anchor="_Toc160445126" w:history="1">
        <w:r w:rsidRPr="00113289">
          <w:rPr>
            <w:rStyle w:val="Hyperlink"/>
            <w:rFonts w:eastAsia="Aptos"/>
            <w:noProof/>
          </w:rPr>
          <w:t>Investment trends in other SRI programs</w:t>
        </w:r>
        <w:r>
          <w:rPr>
            <w:noProof/>
            <w:webHidden/>
          </w:rPr>
          <w:tab/>
        </w:r>
        <w:r>
          <w:rPr>
            <w:noProof/>
            <w:webHidden/>
          </w:rPr>
          <w:fldChar w:fldCharType="begin"/>
        </w:r>
        <w:r>
          <w:rPr>
            <w:noProof/>
            <w:webHidden/>
          </w:rPr>
          <w:instrText xml:space="preserve"> PAGEREF _Toc160445126 \h </w:instrText>
        </w:r>
        <w:r>
          <w:rPr>
            <w:noProof/>
            <w:webHidden/>
          </w:rPr>
        </w:r>
        <w:r>
          <w:rPr>
            <w:noProof/>
            <w:webHidden/>
          </w:rPr>
          <w:fldChar w:fldCharType="separate"/>
        </w:r>
        <w:r>
          <w:rPr>
            <w:noProof/>
            <w:webHidden/>
          </w:rPr>
          <w:t>14</w:t>
        </w:r>
        <w:r>
          <w:rPr>
            <w:noProof/>
            <w:webHidden/>
          </w:rPr>
          <w:fldChar w:fldCharType="end"/>
        </w:r>
      </w:hyperlink>
    </w:p>
    <w:p w14:paraId="460CBCCA" w14:textId="546C2879" w:rsidR="00875974" w:rsidRDefault="00875974">
      <w:pPr>
        <w:pStyle w:val="TOC1"/>
        <w:rPr>
          <w:rFonts w:asciiTheme="minorHAnsi" w:eastAsiaTheme="minorEastAsia" w:hAnsiTheme="minorHAnsi" w:cstheme="minorBidi"/>
          <w:bCs w:val="0"/>
          <w:noProof/>
          <w:kern w:val="2"/>
          <w:sz w:val="24"/>
          <w:szCs w:val="24"/>
          <w14:ligatures w14:val="standardContextual"/>
        </w:rPr>
      </w:pPr>
      <w:hyperlink w:anchor="_Toc160445127" w:history="1">
        <w:r w:rsidRPr="00113289">
          <w:rPr>
            <w:rStyle w:val="Hyperlink"/>
            <w:rFonts w:eastAsia="Aptos"/>
            <w:noProof/>
          </w:rPr>
          <w:t>Tourism or Technology: Where to from here?</w:t>
        </w:r>
        <w:r>
          <w:rPr>
            <w:noProof/>
            <w:webHidden/>
          </w:rPr>
          <w:tab/>
        </w:r>
        <w:r>
          <w:rPr>
            <w:noProof/>
            <w:webHidden/>
          </w:rPr>
          <w:fldChar w:fldCharType="begin"/>
        </w:r>
        <w:r>
          <w:rPr>
            <w:noProof/>
            <w:webHidden/>
          </w:rPr>
          <w:instrText xml:space="preserve"> PAGEREF _Toc160445127 \h </w:instrText>
        </w:r>
        <w:r>
          <w:rPr>
            <w:noProof/>
            <w:webHidden/>
          </w:rPr>
        </w:r>
        <w:r>
          <w:rPr>
            <w:noProof/>
            <w:webHidden/>
          </w:rPr>
          <w:fldChar w:fldCharType="separate"/>
        </w:r>
        <w:r>
          <w:rPr>
            <w:noProof/>
            <w:webHidden/>
          </w:rPr>
          <w:t>16</w:t>
        </w:r>
        <w:r>
          <w:rPr>
            <w:noProof/>
            <w:webHidden/>
          </w:rPr>
          <w:fldChar w:fldCharType="end"/>
        </w:r>
      </w:hyperlink>
    </w:p>
    <w:p w14:paraId="71B3690C" w14:textId="0872A2AC" w:rsidR="00875974" w:rsidRDefault="00875974">
      <w:pPr>
        <w:pStyle w:val="TOC1"/>
        <w:rPr>
          <w:rFonts w:asciiTheme="minorHAnsi" w:eastAsiaTheme="minorEastAsia" w:hAnsiTheme="minorHAnsi" w:cstheme="minorBidi"/>
          <w:bCs w:val="0"/>
          <w:noProof/>
          <w:kern w:val="2"/>
          <w:sz w:val="24"/>
          <w:szCs w:val="24"/>
          <w14:ligatures w14:val="standardContextual"/>
        </w:rPr>
      </w:pPr>
      <w:hyperlink w:anchor="_Toc160445128" w:history="1">
        <w:r w:rsidRPr="00113289">
          <w:rPr>
            <w:rStyle w:val="Hyperlink"/>
            <w:rFonts w:eastAsia="Aptos"/>
            <w:noProof/>
          </w:rPr>
          <w:t>Towards a “whole of government” strategy</w:t>
        </w:r>
        <w:r>
          <w:rPr>
            <w:noProof/>
            <w:webHidden/>
          </w:rPr>
          <w:tab/>
        </w:r>
        <w:r>
          <w:rPr>
            <w:noProof/>
            <w:webHidden/>
          </w:rPr>
          <w:fldChar w:fldCharType="begin"/>
        </w:r>
        <w:r>
          <w:rPr>
            <w:noProof/>
            <w:webHidden/>
          </w:rPr>
          <w:instrText xml:space="preserve"> PAGEREF _Toc160445128 \h </w:instrText>
        </w:r>
        <w:r>
          <w:rPr>
            <w:noProof/>
            <w:webHidden/>
          </w:rPr>
        </w:r>
        <w:r>
          <w:rPr>
            <w:noProof/>
            <w:webHidden/>
          </w:rPr>
          <w:fldChar w:fldCharType="separate"/>
        </w:r>
        <w:r>
          <w:rPr>
            <w:noProof/>
            <w:webHidden/>
          </w:rPr>
          <w:t>18</w:t>
        </w:r>
        <w:r>
          <w:rPr>
            <w:noProof/>
            <w:webHidden/>
          </w:rPr>
          <w:fldChar w:fldCharType="end"/>
        </w:r>
      </w:hyperlink>
    </w:p>
    <w:p w14:paraId="3648EC4E" w14:textId="77777777" w:rsidR="00142921" w:rsidRDefault="004729F8" w:rsidP="006C49F5">
      <w:pPr>
        <w:jc w:val="center"/>
        <w:rPr>
          <w:rFonts w:eastAsia="Aptos"/>
          <w:lang w:eastAsia="en-US"/>
        </w:rPr>
      </w:pPr>
      <w:r>
        <w:rPr>
          <w:rFonts w:eastAsia="Aptos"/>
          <w:lang w:eastAsia="en-US"/>
        </w:rPr>
        <w:fldChar w:fldCharType="end"/>
      </w:r>
    </w:p>
    <w:p w14:paraId="36F0334E" w14:textId="42E3BFFC" w:rsidR="004729F8" w:rsidRPr="006C49F5" w:rsidRDefault="006C49F5" w:rsidP="006C49F5">
      <w:pPr>
        <w:jc w:val="center"/>
        <w:rPr>
          <w:rFonts w:eastAsia="Aptos"/>
          <w:b/>
          <w:bCs/>
          <w:sz w:val="28"/>
          <w:szCs w:val="28"/>
          <w:lang w:eastAsia="en-US"/>
        </w:rPr>
      </w:pPr>
      <w:r w:rsidRPr="006C49F5">
        <w:rPr>
          <w:rFonts w:eastAsia="Aptos"/>
          <w:b/>
          <w:bCs/>
          <w:sz w:val="28"/>
          <w:szCs w:val="28"/>
          <w:lang w:eastAsia="en-US"/>
        </w:rPr>
        <w:t>List of Figures</w:t>
      </w:r>
    </w:p>
    <w:p w14:paraId="06F39433" w14:textId="52D91237" w:rsidR="00875974" w:rsidRDefault="006C49F5">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r>
        <w:rPr>
          <w:rFonts w:eastAsia="Aptos" w:cs="Times New Roman"/>
          <w:szCs w:val="22"/>
          <w:lang w:eastAsia="en-US"/>
        </w:rPr>
        <w:fldChar w:fldCharType="begin"/>
      </w:r>
      <w:r>
        <w:rPr>
          <w:rFonts w:eastAsia="Aptos" w:cs="Times New Roman"/>
          <w:szCs w:val="22"/>
          <w:lang w:eastAsia="en-US"/>
        </w:rPr>
        <w:instrText xml:space="preserve"> TOC \h \z \c "Figure" </w:instrText>
      </w:r>
      <w:r>
        <w:rPr>
          <w:rFonts w:eastAsia="Aptos" w:cs="Times New Roman"/>
          <w:szCs w:val="22"/>
          <w:lang w:eastAsia="en-US"/>
        </w:rPr>
        <w:fldChar w:fldCharType="separate"/>
      </w:r>
      <w:hyperlink w:anchor="_Toc160445129" w:history="1">
        <w:r w:rsidR="00875974" w:rsidRPr="002A60BE">
          <w:rPr>
            <w:rStyle w:val="Hyperlink"/>
            <w:rFonts w:eastAsiaTheme="majorEastAsia"/>
            <w:noProof/>
          </w:rPr>
          <w:t>Figure 1: Gross Expenditure on R&amp;D as a percentage of GDP—Australia and peer nations</w:t>
        </w:r>
        <w:r w:rsidR="00875974">
          <w:rPr>
            <w:noProof/>
            <w:webHidden/>
          </w:rPr>
          <w:tab/>
        </w:r>
        <w:r w:rsidR="00875974">
          <w:rPr>
            <w:noProof/>
            <w:webHidden/>
          </w:rPr>
          <w:fldChar w:fldCharType="begin"/>
        </w:r>
        <w:r w:rsidR="00875974">
          <w:rPr>
            <w:noProof/>
            <w:webHidden/>
          </w:rPr>
          <w:instrText xml:space="preserve"> PAGEREF _Toc160445129 \h </w:instrText>
        </w:r>
        <w:r w:rsidR="00875974">
          <w:rPr>
            <w:noProof/>
            <w:webHidden/>
          </w:rPr>
        </w:r>
        <w:r w:rsidR="00875974">
          <w:rPr>
            <w:noProof/>
            <w:webHidden/>
          </w:rPr>
          <w:fldChar w:fldCharType="separate"/>
        </w:r>
        <w:r w:rsidR="00875974">
          <w:rPr>
            <w:noProof/>
            <w:webHidden/>
          </w:rPr>
          <w:t>3</w:t>
        </w:r>
        <w:r w:rsidR="00875974">
          <w:rPr>
            <w:noProof/>
            <w:webHidden/>
          </w:rPr>
          <w:fldChar w:fldCharType="end"/>
        </w:r>
      </w:hyperlink>
    </w:p>
    <w:p w14:paraId="4989132A" w14:textId="514ED792"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0" w:history="1">
        <w:r w:rsidRPr="002A60BE">
          <w:rPr>
            <w:rStyle w:val="Hyperlink"/>
            <w:rFonts w:eastAsiaTheme="majorEastAsia"/>
            <w:noProof/>
          </w:rPr>
          <w:t>Figure 2: Total Government Investment in R&amp;D as a proportion of GDP (current prices)</w:t>
        </w:r>
        <w:r>
          <w:rPr>
            <w:noProof/>
            <w:webHidden/>
          </w:rPr>
          <w:tab/>
        </w:r>
        <w:r>
          <w:rPr>
            <w:noProof/>
            <w:webHidden/>
          </w:rPr>
          <w:fldChar w:fldCharType="begin"/>
        </w:r>
        <w:r>
          <w:rPr>
            <w:noProof/>
            <w:webHidden/>
          </w:rPr>
          <w:instrText xml:space="preserve"> PAGEREF _Toc160445130 \h </w:instrText>
        </w:r>
        <w:r>
          <w:rPr>
            <w:noProof/>
            <w:webHidden/>
          </w:rPr>
        </w:r>
        <w:r>
          <w:rPr>
            <w:noProof/>
            <w:webHidden/>
          </w:rPr>
          <w:fldChar w:fldCharType="separate"/>
        </w:r>
        <w:r>
          <w:rPr>
            <w:noProof/>
            <w:webHidden/>
          </w:rPr>
          <w:t>4</w:t>
        </w:r>
        <w:r>
          <w:rPr>
            <w:noProof/>
            <w:webHidden/>
          </w:rPr>
          <w:fldChar w:fldCharType="end"/>
        </w:r>
      </w:hyperlink>
    </w:p>
    <w:p w14:paraId="2AB0FECC" w14:textId="143A9CB4"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1" w:history="1">
        <w:r w:rsidRPr="002A60BE">
          <w:rPr>
            <w:rStyle w:val="Hyperlink"/>
            <w:rFonts w:eastAsiaTheme="majorEastAsia"/>
            <w:noProof/>
          </w:rPr>
          <w:t>Figure 3: Government Investment in R&amp;D ($m, current prices and inflation-adjusted)</w:t>
        </w:r>
        <w:r>
          <w:rPr>
            <w:noProof/>
            <w:webHidden/>
          </w:rPr>
          <w:tab/>
        </w:r>
        <w:r>
          <w:rPr>
            <w:noProof/>
            <w:webHidden/>
          </w:rPr>
          <w:fldChar w:fldCharType="begin"/>
        </w:r>
        <w:r>
          <w:rPr>
            <w:noProof/>
            <w:webHidden/>
          </w:rPr>
          <w:instrText xml:space="preserve"> PAGEREF _Toc160445131 \h </w:instrText>
        </w:r>
        <w:r>
          <w:rPr>
            <w:noProof/>
            <w:webHidden/>
          </w:rPr>
        </w:r>
        <w:r>
          <w:rPr>
            <w:noProof/>
            <w:webHidden/>
          </w:rPr>
          <w:fldChar w:fldCharType="separate"/>
        </w:r>
        <w:r>
          <w:rPr>
            <w:noProof/>
            <w:webHidden/>
          </w:rPr>
          <w:t>5</w:t>
        </w:r>
        <w:r>
          <w:rPr>
            <w:noProof/>
            <w:webHidden/>
          </w:rPr>
          <w:fldChar w:fldCharType="end"/>
        </w:r>
      </w:hyperlink>
    </w:p>
    <w:p w14:paraId="632BB3AC" w14:textId="6AC5667C"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2" w:history="1">
        <w:r w:rsidRPr="002A60BE">
          <w:rPr>
            <w:rStyle w:val="Hyperlink"/>
            <w:rFonts w:eastAsiaTheme="majorEastAsia"/>
            <w:noProof/>
          </w:rPr>
          <w:t>Figure 4: Australian Government investment in R&amp;D by sector 1993-94 to 2023-24</w:t>
        </w:r>
        <w:r>
          <w:rPr>
            <w:noProof/>
            <w:webHidden/>
          </w:rPr>
          <w:tab/>
        </w:r>
        <w:r>
          <w:rPr>
            <w:noProof/>
            <w:webHidden/>
          </w:rPr>
          <w:fldChar w:fldCharType="begin"/>
        </w:r>
        <w:r>
          <w:rPr>
            <w:noProof/>
            <w:webHidden/>
          </w:rPr>
          <w:instrText xml:space="preserve"> PAGEREF _Toc160445132 \h </w:instrText>
        </w:r>
        <w:r>
          <w:rPr>
            <w:noProof/>
            <w:webHidden/>
          </w:rPr>
        </w:r>
        <w:r>
          <w:rPr>
            <w:noProof/>
            <w:webHidden/>
          </w:rPr>
          <w:fldChar w:fldCharType="separate"/>
        </w:r>
        <w:r>
          <w:rPr>
            <w:noProof/>
            <w:webHidden/>
          </w:rPr>
          <w:t>6</w:t>
        </w:r>
        <w:r>
          <w:rPr>
            <w:noProof/>
            <w:webHidden/>
          </w:rPr>
          <w:fldChar w:fldCharType="end"/>
        </w:r>
      </w:hyperlink>
    </w:p>
    <w:p w14:paraId="1E98A5FA" w14:textId="5068E676"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3" w:history="1">
        <w:r w:rsidRPr="002A60BE">
          <w:rPr>
            <w:rStyle w:val="Hyperlink"/>
            <w:rFonts w:eastAsiaTheme="majorEastAsia"/>
            <w:noProof/>
          </w:rPr>
          <w:t>Figure 5: Total Australian Government investment in R&amp;D by socioeconomic objective</w:t>
        </w:r>
        <w:r>
          <w:rPr>
            <w:noProof/>
            <w:webHidden/>
          </w:rPr>
          <w:tab/>
        </w:r>
        <w:r>
          <w:rPr>
            <w:noProof/>
            <w:webHidden/>
          </w:rPr>
          <w:fldChar w:fldCharType="begin"/>
        </w:r>
        <w:r>
          <w:rPr>
            <w:noProof/>
            <w:webHidden/>
          </w:rPr>
          <w:instrText xml:space="preserve"> PAGEREF _Toc160445133 \h </w:instrText>
        </w:r>
        <w:r>
          <w:rPr>
            <w:noProof/>
            <w:webHidden/>
          </w:rPr>
        </w:r>
        <w:r>
          <w:rPr>
            <w:noProof/>
            <w:webHidden/>
          </w:rPr>
          <w:fldChar w:fldCharType="separate"/>
        </w:r>
        <w:r>
          <w:rPr>
            <w:noProof/>
            <w:webHidden/>
          </w:rPr>
          <w:t>7</w:t>
        </w:r>
        <w:r>
          <w:rPr>
            <w:noProof/>
            <w:webHidden/>
          </w:rPr>
          <w:fldChar w:fldCharType="end"/>
        </w:r>
      </w:hyperlink>
    </w:p>
    <w:p w14:paraId="61242F26" w14:textId="2EB62B9B"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4" w:history="1">
        <w:r w:rsidRPr="002A60BE">
          <w:rPr>
            <w:rStyle w:val="Hyperlink"/>
            <w:rFonts w:eastAsiaTheme="majorEastAsia"/>
            <w:noProof/>
          </w:rPr>
          <w:t>Figure 6: Count of Government R&amp;D programs/activities (number)</w:t>
        </w:r>
        <w:r>
          <w:rPr>
            <w:noProof/>
            <w:webHidden/>
          </w:rPr>
          <w:tab/>
        </w:r>
        <w:r>
          <w:rPr>
            <w:noProof/>
            <w:webHidden/>
          </w:rPr>
          <w:fldChar w:fldCharType="begin"/>
        </w:r>
        <w:r>
          <w:rPr>
            <w:noProof/>
            <w:webHidden/>
          </w:rPr>
          <w:instrText xml:space="preserve"> PAGEREF _Toc160445134 \h </w:instrText>
        </w:r>
        <w:r>
          <w:rPr>
            <w:noProof/>
            <w:webHidden/>
          </w:rPr>
        </w:r>
        <w:r>
          <w:rPr>
            <w:noProof/>
            <w:webHidden/>
          </w:rPr>
          <w:fldChar w:fldCharType="separate"/>
        </w:r>
        <w:r>
          <w:rPr>
            <w:noProof/>
            <w:webHidden/>
          </w:rPr>
          <w:t>9</w:t>
        </w:r>
        <w:r>
          <w:rPr>
            <w:noProof/>
            <w:webHidden/>
          </w:rPr>
          <w:fldChar w:fldCharType="end"/>
        </w:r>
      </w:hyperlink>
    </w:p>
    <w:p w14:paraId="4431C203" w14:textId="0D82DD4E"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5" w:history="1">
        <w:r w:rsidRPr="002A60BE">
          <w:rPr>
            <w:rStyle w:val="Hyperlink"/>
            <w:rFonts w:eastAsiaTheme="majorEastAsia"/>
            <w:noProof/>
          </w:rPr>
          <w:t>Figure 7: Australian Government R&amp;D programs and activities valued at over $100 million in 2022-23 to 2023-24 ($m inflation-adjusted)—the ten largest programs</w:t>
        </w:r>
        <w:r>
          <w:rPr>
            <w:noProof/>
            <w:webHidden/>
          </w:rPr>
          <w:tab/>
        </w:r>
        <w:r>
          <w:rPr>
            <w:noProof/>
            <w:webHidden/>
          </w:rPr>
          <w:fldChar w:fldCharType="begin"/>
        </w:r>
        <w:r>
          <w:rPr>
            <w:noProof/>
            <w:webHidden/>
          </w:rPr>
          <w:instrText xml:space="preserve"> PAGEREF _Toc160445135 \h </w:instrText>
        </w:r>
        <w:r>
          <w:rPr>
            <w:noProof/>
            <w:webHidden/>
          </w:rPr>
        </w:r>
        <w:r>
          <w:rPr>
            <w:noProof/>
            <w:webHidden/>
          </w:rPr>
          <w:fldChar w:fldCharType="separate"/>
        </w:r>
        <w:r>
          <w:rPr>
            <w:noProof/>
            <w:webHidden/>
          </w:rPr>
          <w:t>10</w:t>
        </w:r>
        <w:r>
          <w:rPr>
            <w:noProof/>
            <w:webHidden/>
          </w:rPr>
          <w:fldChar w:fldCharType="end"/>
        </w:r>
      </w:hyperlink>
    </w:p>
    <w:p w14:paraId="43ECB492" w14:textId="2ED04BA8"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6" w:history="1">
        <w:r w:rsidRPr="002A60BE">
          <w:rPr>
            <w:rStyle w:val="Hyperlink"/>
            <w:rFonts w:eastAsiaTheme="majorEastAsia"/>
            <w:noProof/>
          </w:rPr>
          <w:t>Figure 8: Investment in R&amp;D by SEO for ANSTO, 2007-08 to 2023-24, ($m inflation-adjusted)</w:t>
        </w:r>
        <w:r>
          <w:rPr>
            <w:noProof/>
            <w:webHidden/>
          </w:rPr>
          <w:tab/>
        </w:r>
        <w:r>
          <w:rPr>
            <w:noProof/>
            <w:webHidden/>
          </w:rPr>
          <w:fldChar w:fldCharType="begin"/>
        </w:r>
        <w:r>
          <w:rPr>
            <w:noProof/>
            <w:webHidden/>
          </w:rPr>
          <w:instrText xml:space="preserve"> PAGEREF _Toc160445136 \h </w:instrText>
        </w:r>
        <w:r>
          <w:rPr>
            <w:noProof/>
            <w:webHidden/>
          </w:rPr>
        </w:r>
        <w:r>
          <w:rPr>
            <w:noProof/>
            <w:webHidden/>
          </w:rPr>
          <w:fldChar w:fldCharType="separate"/>
        </w:r>
        <w:r>
          <w:rPr>
            <w:noProof/>
            <w:webHidden/>
          </w:rPr>
          <w:t>11</w:t>
        </w:r>
        <w:r>
          <w:rPr>
            <w:noProof/>
            <w:webHidden/>
          </w:rPr>
          <w:fldChar w:fldCharType="end"/>
        </w:r>
      </w:hyperlink>
    </w:p>
    <w:p w14:paraId="6AD829D1" w14:textId="1922E0D4"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7" w:history="1">
        <w:r w:rsidRPr="002A60BE">
          <w:rPr>
            <w:rStyle w:val="Hyperlink"/>
            <w:rFonts w:eastAsiaTheme="majorEastAsia"/>
            <w:noProof/>
          </w:rPr>
          <w:t>Figure 9: Investment in R&amp;D by SEO for ARC, 2007-08 to 2023-24, ($m inflation-adjusted)</w:t>
        </w:r>
        <w:r>
          <w:rPr>
            <w:noProof/>
            <w:webHidden/>
          </w:rPr>
          <w:tab/>
        </w:r>
        <w:r>
          <w:rPr>
            <w:noProof/>
            <w:webHidden/>
          </w:rPr>
          <w:fldChar w:fldCharType="begin"/>
        </w:r>
        <w:r>
          <w:rPr>
            <w:noProof/>
            <w:webHidden/>
          </w:rPr>
          <w:instrText xml:space="preserve"> PAGEREF _Toc160445137 \h </w:instrText>
        </w:r>
        <w:r>
          <w:rPr>
            <w:noProof/>
            <w:webHidden/>
          </w:rPr>
        </w:r>
        <w:r>
          <w:rPr>
            <w:noProof/>
            <w:webHidden/>
          </w:rPr>
          <w:fldChar w:fldCharType="separate"/>
        </w:r>
        <w:r>
          <w:rPr>
            <w:noProof/>
            <w:webHidden/>
          </w:rPr>
          <w:t>11</w:t>
        </w:r>
        <w:r>
          <w:rPr>
            <w:noProof/>
            <w:webHidden/>
          </w:rPr>
          <w:fldChar w:fldCharType="end"/>
        </w:r>
      </w:hyperlink>
    </w:p>
    <w:p w14:paraId="01C91C88" w14:textId="2F3272F3"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8" w:history="1">
        <w:r w:rsidRPr="002A60BE">
          <w:rPr>
            <w:rStyle w:val="Hyperlink"/>
            <w:rFonts w:eastAsiaTheme="majorEastAsia"/>
            <w:noProof/>
          </w:rPr>
          <w:t>Figure 10: Investment in R&amp;D by SEO for CSIRO, 2007-08 to 2023-24, ($m inflation-adjusted)</w:t>
        </w:r>
        <w:r>
          <w:rPr>
            <w:noProof/>
            <w:webHidden/>
          </w:rPr>
          <w:tab/>
        </w:r>
        <w:r>
          <w:rPr>
            <w:noProof/>
            <w:webHidden/>
          </w:rPr>
          <w:fldChar w:fldCharType="begin"/>
        </w:r>
        <w:r>
          <w:rPr>
            <w:noProof/>
            <w:webHidden/>
          </w:rPr>
          <w:instrText xml:space="preserve"> PAGEREF _Toc160445138 \h </w:instrText>
        </w:r>
        <w:r>
          <w:rPr>
            <w:noProof/>
            <w:webHidden/>
          </w:rPr>
        </w:r>
        <w:r>
          <w:rPr>
            <w:noProof/>
            <w:webHidden/>
          </w:rPr>
          <w:fldChar w:fldCharType="separate"/>
        </w:r>
        <w:r>
          <w:rPr>
            <w:noProof/>
            <w:webHidden/>
          </w:rPr>
          <w:t>12</w:t>
        </w:r>
        <w:r>
          <w:rPr>
            <w:noProof/>
            <w:webHidden/>
          </w:rPr>
          <w:fldChar w:fldCharType="end"/>
        </w:r>
      </w:hyperlink>
    </w:p>
    <w:p w14:paraId="1B584C93" w14:textId="2256BA4E"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39" w:history="1">
        <w:r w:rsidRPr="002A60BE">
          <w:rPr>
            <w:rStyle w:val="Hyperlink"/>
            <w:rFonts w:eastAsiaTheme="majorEastAsia"/>
            <w:noProof/>
          </w:rPr>
          <w:t>Figure 11: Investment in R&amp;D by SEO for NCRIS, 2007-08 to 2023-24, ($m inflation-adjusted)</w:t>
        </w:r>
        <w:r>
          <w:rPr>
            <w:noProof/>
            <w:webHidden/>
          </w:rPr>
          <w:tab/>
        </w:r>
        <w:r>
          <w:rPr>
            <w:noProof/>
            <w:webHidden/>
          </w:rPr>
          <w:fldChar w:fldCharType="begin"/>
        </w:r>
        <w:r>
          <w:rPr>
            <w:noProof/>
            <w:webHidden/>
          </w:rPr>
          <w:instrText xml:space="preserve"> PAGEREF _Toc160445139 \h </w:instrText>
        </w:r>
        <w:r>
          <w:rPr>
            <w:noProof/>
            <w:webHidden/>
          </w:rPr>
        </w:r>
        <w:r>
          <w:rPr>
            <w:noProof/>
            <w:webHidden/>
          </w:rPr>
          <w:fldChar w:fldCharType="separate"/>
        </w:r>
        <w:r>
          <w:rPr>
            <w:noProof/>
            <w:webHidden/>
          </w:rPr>
          <w:t>12</w:t>
        </w:r>
        <w:r>
          <w:rPr>
            <w:noProof/>
            <w:webHidden/>
          </w:rPr>
          <w:fldChar w:fldCharType="end"/>
        </w:r>
      </w:hyperlink>
    </w:p>
    <w:p w14:paraId="257E5B9A" w14:textId="54E4C114"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40" w:history="1">
        <w:r w:rsidRPr="002A60BE">
          <w:rPr>
            <w:rStyle w:val="Hyperlink"/>
            <w:rFonts w:eastAsiaTheme="majorEastAsia"/>
            <w:noProof/>
          </w:rPr>
          <w:t>Figure 12: Investment in R&amp;D by SEO for R&amp;D Tax Measures, 2007-08 to 2023-24, ($m inflation-adjusted)</w:t>
        </w:r>
        <w:r>
          <w:rPr>
            <w:noProof/>
            <w:webHidden/>
          </w:rPr>
          <w:tab/>
        </w:r>
        <w:r>
          <w:rPr>
            <w:noProof/>
            <w:webHidden/>
          </w:rPr>
          <w:fldChar w:fldCharType="begin"/>
        </w:r>
        <w:r>
          <w:rPr>
            <w:noProof/>
            <w:webHidden/>
          </w:rPr>
          <w:instrText xml:space="preserve"> PAGEREF _Toc160445140 \h </w:instrText>
        </w:r>
        <w:r>
          <w:rPr>
            <w:noProof/>
            <w:webHidden/>
          </w:rPr>
        </w:r>
        <w:r>
          <w:rPr>
            <w:noProof/>
            <w:webHidden/>
          </w:rPr>
          <w:fldChar w:fldCharType="separate"/>
        </w:r>
        <w:r>
          <w:rPr>
            <w:noProof/>
            <w:webHidden/>
          </w:rPr>
          <w:t>13</w:t>
        </w:r>
        <w:r>
          <w:rPr>
            <w:noProof/>
            <w:webHidden/>
          </w:rPr>
          <w:fldChar w:fldCharType="end"/>
        </w:r>
      </w:hyperlink>
    </w:p>
    <w:p w14:paraId="7B8CF643" w14:textId="5526A433"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41" w:history="1">
        <w:r w:rsidRPr="002A60BE">
          <w:rPr>
            <w:rStyle w:val="Hyperlink"/>
            <w:rFonts w:eastAsiaTheme="majorEastAsia"/>
            <w:noProof/>
          </w:rPr>
          <w:t>Figure 13: The comparative lifespan of R&amp;D investment programs</w:t>
        </w:r>
        <w:r>
          <w:rPr>
            <w:noProof/>
            <w:webHidden/>
          </w:rPr>
          <w:tab/>
        </w:r>
        <w:r>
          <w:rPr>
            <w:noProof/>
            <w:webHidden/>
          </w:rPr>
          <w:fldChar w:fldCharType="begin"/>
        </w:r>
        <w:r>
          <w:rPr>
            <w:noProof/>
            <w:webHidden/>
          </w:rPr>
          <w:instrText xml:space="preserve"> PAGEREF _Toc160445141 \h </w:instrText>
        </w:r>
        <w:r>
          <w:rPr>
            <w:noProof/>
            <w:webHidden/>
          </w:rPr>
        </w:r>
        <w:r>
          <w:rPr>
            <w:noProof/>
            <w:webHidden/>
          </w:rPr>
          <w:fldChar w:fldCharType="separate"/>
        </w:r>
        <w:r>
          <w:rPr>
            <w:noProof/>
            <w:webHidden/>
          </w:rPr>
          <w:t>14</w:t>
        </w:r>
        <w:r>
          <w:rPr>
            <w:noProof/>
            <w:webHidden/>
          </w:rPr>
          <w:fldChar w:fldCharType="end"/>
        </w:r>
      </w:hyperlink>
    </w:p>
    <w:p w14:paraId="69D067F1" w14:textId="3E6B86A0"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42" w:history="1">
        <w:r w:rsidRPr="002A60BE">
          <w:rPr>
            <w:rStyle w:val="Hyperlink"/>
            <w:rFonts w:eastAsiaTheme="majorEastAsia"/>
            <w:noProof/>
          </w:rPr>
          <w:t>Figure 14: Investment Other SRI Programs 2016-17—2023-24. $m (current prices, inflation-adjusted)</w:t>
        </w:r>
        <w:r>
          <w:rPr>
            <w:noProof/>
            <w:webHidden/>
          </w:rPr>
          <w:tab/>
        </w:r>
        <w:r>
          <w:rPr>
            <w:noProof/>
            <w:webHidden/>
          </w:rPr>
          <w:fldChar w:fldCharType="begin"/>
        </w:r>
        <w:r>
          <w:rPr>
            <w:noProof/>
            <w:webHidden/>
          </w:rPr>
          <w:instrText xml:space="preserve"> PAGEREF _Toc160445142 \h </w:instrText>
        </w:r>
        <w:r>
          <w:rPr>
            <w:noProof/>
            <w:webHidden/>
          </w:rPr>
        </w:r>
        <w:r>
          <w:rPr>
            <w:noProof/>
            <w:webHidden/>
          </w:rPr>
          <w:fldChar w:fldCharType="separate"/>
        </w:r>
        <w:r>
          <w:rPr>
            <w:noProof/>
            <w:webHidden/>
          </w:rPr>
          <w:t>14</w:t>
        </w:r>
        <w:r>
          <w:rPr>
            <w:noProof/>
            <w:webHidden/>
          </w:rPr>
          <w:fldChar w:fldCharType="end"/>
        </w:r>
      </w:hyperlink>
    </w:p>
    <w:p w14:paraId="7B306F46" w14:textId="4DDFAB29"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43" w:history="1">
        <w:r w:rsidRPr="002A60BE">
          <w:rPr>
            <w:rStyle w:val="Hyperlink"/>
            <w:rFonts w:eastAsiaTheme="majorEastAsia"/>
            <w:noProof/>
          </w:rPr>
          <w:t>Figure 15: Count of Other Innovation programs/activities (number)</w:t>
        </w:r>
        <w:r>
          <w:rPr>
            <w:noProof/>
            <w:webHidden/>
          </w:rPr>
          <w:tab/>
        </w:r>
        <w:r>
          <w:rPr>
            <w:noProof/>
            <w:webHidden/>
          </w:rPr>
          <w:fldChar w:fldCharType="begin"/>
        </w:r>
        <w:r>
          <w:rPr>
            <w:noProof/>
            <w:webHidden/>
          </w:rPr>
          <w:instrText xml:space="preserve"> PAGEREF _Toc160445143 \h </w:instrText>
        </w:r>
        <w:r>
          <w:rPr>
            <w:noProof/>
            <w:webHidden/>
          </w:rPr>
        </w:r>
        <w:r>
          <w:rPr>
            <w:noProof/>
            <w:webHidden/>
          </w:rPr>
          <w:fldChar w:fldCharType="separate"/>
        </w:r>
        <w:r>
          <w:rPr>
            <w:noProof/>
            <w:webHidden/>
          </w:rPr>
          <w:t>15</w:t>
        </w:r>
        <w:r>
          <w:rPr>
            <w:noProof/>
            <w:webHidden/>
          </w:rPr>
          <w:fldChar w:fldCharType="end"/>
        </w:r>
      </w:hyperlink>
    </w:p>
    <w:p w14:paraId="0C29D1C2" w14:textId="1D7748C8"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44" w:history="1">
        <w:r w:rsidRPr="002A60BE">
          <w:rPr>
            <w:rStyle w:val="Hyperlink"/>
            <w:rFonts w:eastAsiaTheme="majorEastAsia"/>
            <w:noProof/>
          </w:rPr>
          <w:t>Figure 16: Trends in program items in Other SRI Programs $m (current prices)</w:t>
        </w:r>
        <w:r>
          <w:rPr>
            <w:noProof/>
            <w:webHidden/>
          </w:rPr>
          <w:tab/>
        </w:r>
        <w:r>
          <w:rPr>
            <w:noProof/>
            <w:webHidden/>
          </w:rPr>
          <w:fldChar w:fldCharType="begin"/>
        </w:r>
        <w:r>
          <w:rPr>
            <w:noProof/>
            <w:webHidden/>
          </w:rPr>
          <w:instrText xml:space="preserve"> PAGEREF _Toc160445144 \h </w:instrText>
        </w:r>
        <w:r>
          <w:rPr>
            <w:noProof/>
            <w:webHidden/>
          </w:rPr>
        </w:r>
        <w:r>
          <w:rPr>
            <w:noProof/>
            <w:webHidden/>
          </w:rPr>
          <w:fldChar w:fldCharType="separate"/>
        </w:r>
        <w:r>
          <w:rPr>
            <w:noProof/>
            <w:webHidden/>
          </w:rPr>
          <w:t>15</w:t>
        </w:r>
        <w:r>
          <w:rPr>
            <w:noProof/>
            <w:webHidden/>
          </w:rPr>
          <w:fldChar w:fldCharType="end"/>
        </w:r>
      </w:hyperlink>
    </w:p>
    <w:p w14:paraId="3B60C6BC" w14:textId="3CBE4D6F"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45" w:history="1">
        <w:r w:rsidRPr="002A60BE">
          <w:rPr>
            <w:rStyle w:val="Hyperlink"/>
            <w:rFonts w:eastAsiaTheme="majorEastAsia"/>
            <w:noProof/>
          </w:rPr>
          <w:t>Figure 17: Investment commitment to growth programs 2014-15—2026-27 $m (current prices)</w:t>
        </w:r>
        <w:r>
          <w:rPr>
            <w:noProof/>
            <w:webHidden/>
          </w:rPr>
          <w:tab/>
        </w:r>
        <w:r>
          <w:rPr>
            <w:noProof/>
            <w:webHidden/>
          </w:rPr>
          <w:fldChar w:fldCharType="begin"/>
        </w:r>
        <w:r>
          <w:rPr>
            <w:noProof/>
            <w:webHidden/>
          </w:rPr>
          <w:instrText xml:space="preserve"> PAGEREF _Toc160445145 \h </w:instrText>
        </w:r>
        <w:r>
          <w:rPr>
            <w:noProof/>
            <w:webHidden/>
          </w:rPr>
        </w:r>
        <w:r>
          <w:rPr>
            <w:noProof/>
            <w:webHidden/>
          </w:rPr>
          <w:fldChar w:fldCharType="separate"/>
        </w:r>
        <w:r>
          <w:rPr>
            <w:noProof/>
            <w:webHidden/>
          </w:rPr>
          <w:t>16</w:t>
        </w:r>
        <w:r>
          <w:rPr>
            <w:noProof/>
            <w:webHidden/>
          </w:rPr>
          <w:fldChar w:fldCharType="end"/>
        </w:r>
      </w:hyperlink>
    </w:p>
    <w:p w14:paraId="0AB4EA2D" w14:textId="77FBE35C" w:rsidR="00875974" w:rsidRDefault="00875974">
      <w:pPr>
        <w:pStyle w:val="TableofFigures"/>
        <w:tabs>
          <w:tab w:val="right" w:leader="dot" w:pos="9317"/>
        </w:tabs>
        <w:rPr>
          <w:rFonts w:asciiTheme="minorHAnsi" w:eastAsiaTheme="minorEastAsia" w:hAnsiTheme="minorHAnsi" w:cstheme="minorBidi"/>
          <w:bCs w:val="0"/>
          <w:noProof/>
          <w:kern w:val="2"/>
          <w:sz w:val="24"/>
          <w:szCs w:val="24"/>
          <w14:ligatures w14:val="standardContextual"/>
        </w:rPr>
      </w:pPr>
      <w:hyperlink w:anchor="_Toc160445146" w:history="1">
        <w:r w:rsidRPr="002A60BE">
          <w:rPr>
            <w:rStyle w:val="Hyperlink"/>
            <w:rFonts w:eastAsiaTheme="majorEastAsia"/>
            <w:noProof/>
          </w:rPr>
          <w:t>Figure 18: Gross Expenditure on R&amp;D as a percentage of GDP: Australia and European tourism-oriented nations</w:t>
        </w:r>
        <w:r>
          <w:rPr>
            <w:noProof/>
            <w:webHidden/>
          </w:rPr>
          <w:tab/>
        </w:r>
        <w:r>
          <w:rPr>
            <w:noProof/>
            <w:webHidden/>
          </w:rPr>
          <w:fldChar w:fldCharType="begin"/>
        </w:r>
        <w:r>
          <w:rPr>
            <w:noProof/>
            <w:webHidden/>
          </w:rPr>
          <w:instrText xml:space="preserve"> PAGEREF _Toc160445146 \h </w:instrText>
        </w:r>
        <w:r>
          <w:rPr>
            <w:noProof/>
            <w:webHidden/>
          </w:rPr>
        </w:r>
        <w:r>
          <w:rPr>
            <w:noProof/>
            <w:webHidden/>
          </w:rPr>
          <w:fldChar w:fldCharType="separate"/>
        </w:r>
        <w:r>
          <w:rPr>
            <w:noProof/>
            <w:webHidden/>
          </w:rPr>
          <w:t>16</w:t>
        </w:r>
        <w:r>
          <w:rPr>
            <w:noProof/>
            <w:webHidden/>
          </w:rPr>
          <w:fldChar w:fldCharType="end"/>
        </w:r>
      </w:hyperlink>
    </w:p>
    <w:p w14:paraId="3746D6E0" w14:textId="59886596" w:rsidR="006C49F5" w:rsidRDefault="006C49F5" w:rsidP="004729F8">
      <w:pPr>
        <w:spacing w:before="0" w:after="0"/>
        <w:jc w:val="center"/>
        <w:rPr>
          <w:rFonts w:eastAsia="Aptos" w:cs="Times New Roman"/>
          <w:szCs w:val="22"/>
          <w:lang w:eastAsia="en-US"/>
        </w:rPr>
      </w:pPr>
      <w:r>
        <w:rPr>
          <w:rFonts w:eastAsia="Aptos" w:cs="Times New Roman"/>
          <w:szCs w:val="22"/>
          <w:lang w:eastAsia="en-US"/>
        </w:rPr>
        <w:fldChar w:fldCharType="end"/>
      </w:r>
    </w:p>
    <w:p w14:paraId="4547FFB5" w14:textId="77777777" w:rsidR="004729F8" w:rsidRDefault="004729F8" w:rsidP="004729F8">
      <w:pPr>
        <w:rPr>
          <w:rFonts w:eastAsia="Aptos"/>
          <w:lang w:eastAsia="en-US"/>
        </w:rPr>
      </w:pPr>
    </w:p>
    <w:p w14:paraId="788958EF" w14:textId="650F9814" w:rsidR="007F23B8" w:rsidRDefault="007F23B8">
      <w:pPr>
        <w:spacing w:before="0" w:after="0"/>
        <w:rPr>
          <w:rFonts w:eastAsia="Aptos"/>
          <w:lang w:eastAsia="en-US"/>
        </w:rPr>
      </w:pPr>
      <w:r>
        <w:rPr>
          <w:rFonts w:eastAsia="Aptos"/>
          <w:lang w:eastAsia="en-US"/>
        </w:rPr>
        <w:br w:type="page"/>
      </w:r>
    </w:p>
    <w:p w14:paraId="224A2171" w14:textId="77777777" w:rsidR="004729F8" w:rsidRDefault="004729F8" w:rsidP="004729F8">
      <w:pPr>
        <w:rPr>
          <w:rFonts w:eastAsia="Aptos"/>
          <w:lang w:eastAsia="en-US"/>
        </w:rPr>
        <w:sectPr w:rsidR="004729F8" w:rsidSect="0045339E">
          <w:footerReference w:type="even" r:id="rId9"/>
          <w:footerReference w:type="default" r:id="rId10"/>
          <w:pgSz w:w="11901" w:h="16817" w:code="9"/>
          <w:pgMar w:top="1440" w:right="1134" w:bottom="1134" w:left="1440" w:header="936" w:footer="709" w:gutter="0"/>
          <w:pgNumType w:fmt="lowerRoman"/>
          <w:cols w:space="708"/>
          <w:titlePg/>
          <w:docGrid w:linePitch="360"/>
        </w:sectPr>
      </w:pPr>
    </w:p>
    <w:p w14:paraId="6A7B5FFD" w14:textId="30EFBF44" w:rsidR="004729F8" w:rsidRPr="004729F8" w:rsidRDefault="004729F8" w:rsidP="00832D9F">
      <w:pPr>
        <w:pStyle w:val="Heading1"/>
        <w:rPr>
          <w:lang w:eastAsia="en-US"/>
        </w:rPr>
      </w:pPr>
      <w:bookmarkStart w:id="0" w:name="_Toc160445113"/>
      <w:r w:rsidRPr="00832D9F">
        <w:lastRenderedPageBreak/>
        <w:t>Introduction</w:t>
      </w:r>
      <w:bookmarkEnd w:id="0"/>
    </w:p>
    <w:p w14:paraId="4F297BB6" w14:textId="63A63A07" w:rsidR="006C49F5" w:rsidRDefault="006C49F5" w:rsidP="006C49F5">
      <w:pPr>
        <w:rPr>
          <w:rFonts w:cs="Aptos"/>
          <w:i/>
          <w:iCs/>
          <w:color w:val="000000"/>
          <w:szCs w:val="22"/>
        </w:rPr>
      </w:pPr>
      <w:bookmarkStart w:id="1" w:name="_MailOriginal"/>
      <w:r w:rsidRPr="005B2CCD">
        <w:rPr>
          <w:rFonts w:cs="Aptos"/>
          <w:color w:val="000000"/>
          <w:szCs w:val="22"/>
        </w:rPr>
        <w:t>On 15 Februar</w:t>
      </w:r>
      <w:r>
        <w:rPr>
          <w:rFonts w:cs="Aptos"/>
          <w:color w:val="000000"/>
          <w:szCs w:val="22"/>
        </w:rPr>
        <w:t>y</w:t>
      </w:r>
      <w:r w:rsidRPr="005B2CCD">
        <w:rPr>
          <w:rFonts w:cs="Aptos"/>
          <w:color w:val="000000"/>
          <w:szCs w:val="22"/>
        </w:rPr>
        <w:t xml:space="preserve"> 2024, </w:t>
      </w:r>
      <w:r>
        <w:rPr>
          <w:rFonts w:cs="Aptos"/>
          <w:color w:val="000000"/>
          <w:szCs w:val="22"/>
        </w:rPr>
        <w:t xml:space="preserve">the Department of Industry, Science and Resources published the 2023-24 </w:t>
      </w:r>
      <w:r w:rsidRPr="00F02A64">
        <w:rPr>
          <w:rFonts w:cs="Aptos"/>
          <w:i/>
          <w:iCs/>
          <w:color w:val="000000"/>
          <w:szCs w:val="22"/>
        </w:rPr>
        <w:t>Science, Research, and Innovation Budget Tables</w:t>
      </w:r>
      <w:r w:rsidR="000E25FC">
        <w:rPr>
          <w:rStyle w:val="FootnoteReference"/>
        </w:rPr>
        <w:footnoteReference w:id="1"/>
      </w:r>
      <w:r>
        <w:rPr>
          <w:rFonts w:cs="Aptos"/>
          <w:i/>
          <w:iCs/>
          <w:color w:val="000000"/>
          <w:szCs w:val="22"/>
        </w:rPr>
        <w:t>.</w:t>
      </w:r>
    </w:p>
    <w:p w14:paraId="0D60E3EB" w14:textId="77777777" w:rsidR="008B4B3E" w:rsidRDefault="008B4B3E" w:rsidP="008B4B3E">
      <w:pPr>
        <w:rPr>
          <w:rFonts w:cs="Aptos"/>
          <w:color w:val="000000"/>
          <w:szCs w:val="22"/>
        </w:rPr>
      </w:pPr>
      <w:r>
        <w:rPr>
          <w:rFonts w:cs="Aptos"/>
          <w:color w:val="000000"/>
          <w:szCs w:val="22"/>
        </w:rPr>
        <w:t xml:space="preserve">A covering Message from the Minister of Industry Science and Resources (The Hon. Ed </w:t>
      </w:r>
      <w:proofErr w:type="spellStart"/>
      <w:r>
        <w:rPr>
          <w:rFonts w:cs="Aptos"/>
          <w:color w:val="000000"/>
          <w:szCs w:val="22"/>
        </w:rPr>
        <w:t>Husic</w:t>
      </w:r>
      <w:proofErr w:type="spellEnd"/>
      <w:r>
        <w:rPr>
          <w:rFonts w:cs="Aptos"/>
          <w:color w:val="000000"/>
          <w:szCs w:val="22"/>
        </w:rPr>
        <w:t xml:space="preserve"> MP) included some perfunctory remarks on the content of the Tables— </w:t>
      </w:r>
    </w:p>
    <w:p w14:paraId="59145F86" w14:textId="77777777" w:rsidR="008B4B3E" w:rsidRDefault="008B4B3E" w:rsidP="008B4B3E">
      <w:pPr>
        <w:pStyle w:val="Quote"/>
        <w:rPr>
          <w:sz w:val="20"/>
        </w:rPr>
      </w:pPr>
      <w:r w:rsidRPr="00F02A64">
        <w:rPr>
          <w:sz w:val="20"/>
        </w:rPr>
        <w:t>The 2023–24 Science, Research, and Innovation (SRI) Budget Tables show the Government will invest an estimated $12.6 billion in R&amp;D in 2023–24, an increase of 2.7 per cent compared with 2022–23. This government is sending all the right signals</w:t>
      </w:r>
      <w:r>
        <w:rPr>
          <w:sz w:val="20"/>
        </w:rPr>
        <w:t xml:space="preserve"> ...</w:t>
      </w:r>
    </w:p>
    <w:p w14:paraId="7DA17782" w14:textId="77777777" w:rsidR="008B4B3E" w:rsidRPr="00F02A64" w:rsidRDefault="008B4B3E" w:rsidP="008B4B3E">
      <w:pPr>
        <w:pStyle w:val="Quote"/>
        <w:rPr>
          <w:sz w:val="20"/>
        </w:rPr>
      </w:pPr>
      <w:r w:rsidRPr="00F02A64">
        <w:rPr>
          <w:sz w:val="20"/>
        </w:rPr>
        <w:t xml:space="preserve">The Government is investing in priority industries that will support an uplift in R&amp;D investment over the longer term, including through the $15 billion National Reconstruction Fund, </w:t>
      </w:r>
      <w:r>
        <w:rPr>
          <w:sz w:val="20"/>
        </w:rPr>
        <w:t xml:space="preserve">the </w:t>
      </w:r>
      <w:r w:rsidRPr="00F02A64">
        <w:rPr>
          <w:sz w:val="20"/>
        </w:rPr>
        <w:t>$392 million Industry Growth Program, and the National Quantum Strategy</w:t>
      </w:r>
      <w:r>
        <w:rPr>
          <w:rStyle w:val="FootnoteReference"/>
          <w:sz w:val="20"/>
        </w:rPr>
        <w:footnoteReference w:id="2"/>
      </w:r>
      <w:r w:rsidRPr="00F02A64">
        <w:rPr>
          <w:sz w:val="20"/>
        </w:rPr>
        <w:t xml:space="preserve">. </w:t>
      </w:r>
    </w:p>
    <w:p w14:paraId="631BAEB5" w14:textId="7953EDD6" w:rsidR="008B4B3E" w:rsidRDefault="008B4B3E" w:rsidP="008B4B3E">
      <w:r>
        <w:t>The Minister considers that “t</w:t>
      </w:r>
      <w:r w:rsidRPr="00F02A64">
        <w:t>hese investments collectively provide the right frameworks so that business will be confident to invest in new research and innovations, supporting them to translate new knowledge into practical opportunities that drive economic growth and competitiveness</w:t>
      </w:r>
      <w:r>
        <w:t>”</w:t>
      </w:r>
      <w:r w:rsidRPr="00F02A64">
        <w:t>.</w:t>
      </w:r>
      <w:r>
        <w:t xml:space="preserve"> Other announcements have been made </w:t>
      </w:r>
      <w:r w:rsidR="009E12C6">
        <w:t>concerning</w:t>
      </w:r>
      <w:r>
        <w:t xml:space="preserve"> </w:t>
      </w:r>
      <w:r w:rsidR="00A50876">
        <w:t xml:space="preserve">the </w:t>
      </w:r>
      <w:r>
        <w:t>defence industry and sovereign capability.</w:t>
      </w:r>
    </w:p>
    <w:p w14:paraId="4FAF5DD3" w14:textId="6BA4F010" w:rsidR="006C49F5" w:rsidRDefault="006C49F5" w:rsidP="006C49F5">
      <w:pPr>
        <w:rPr>
          <w:rFonts w:eastAsia="Aptos"/>
        </w:rPr>
      </w:pPr>
      <w:r>
        <w:rPr>
          <w:rFonts w:eastAsia="Aptos"/>
        </w:rPr>
        <w:t xml:space="preserve">The </w:t>
      </w:r>
      <w:r w:rsidRPr="006C49F5">
        <w:rPr>
          <w:rFonts w:eastAsia="Aptos"/>
        </w:rPr>
        <w:t>Tables</w:t>
      </w:r>
      <w:r>
        <w:rPr>
          <w:rFonts w:eastAsia="Aptos"/>
        </w:rPr>
        <w:t xml:space="preserve"> contain a wealth of information about the performance and (implied) priorities of Australia’s investment in R&amp;D and what are termed “Other Innovation Programs”. The material is rich in detail and is a credit to the Departmental Officers responsible for compiling it and improving the data quality over the years. </w:t>
      </w:r>
    </w:p>
    <w:p w14:paraId="15AF428B" w14:textId="7A47ADE5" w:rsidR="006C49F5" w:rsidRDefault="006C49F5" w:rsidP="006C49F5">
      <w:pPr>
        <w:rPr>
          <w:rFonts w:eastAsia="Aptos"/>
        </w:rPr>
      </w:pPr>
      <w:r w:rsidRPr="008A3E77">
        <w:rPr>
          <w:rFonts w:eastAsia="Aptos"/>
          <w:i/>
          <w:iCs/>
        </w:rPr>
        <w:t>The SRI Budget Tables</w:t>
      </w:r>
      <w:r>
        <w:rPr>
          <w:rFonts w:eastAsia="Aptos"/>
        </w:rPr>
        <w:t xml:space="preserve"> do not represent a “budget” in the strictest sense of the term</w:t>
      </w:r>
      <w:r w:rsidR="00FE0B74">
        <w:rPr>
          <w:rFonts w:eastAsia="Aptos"/>
        </w:rPr>
        <w:t>. However,</w:t>
      </w:r>
      <w:r>
        <w:rPr>
          <w:rFonts w:eastAsia="Aptos"/>
        </w:rPr>
        <w:t xml:space="preserve"> there is potential to use them as an instrument to guide decision-making and resource allocation across portfolios in the future.</w:t>
      </w:r>
      <w:r w:rsidR="00D85049">
        <w:rPr>
          <w:rFonts w:eastAsia="Aptos"/>
        </w:rPr>
        <w:t xml:space="preserve"> </w:t>
      </w:r>
      <w:r>
        <w:rPr>
          <w:rFonts w:eastAsia="Aptos"/>
        </w:rPr>
        <w:t xml:space="preserve">Ideally, the SRI Budget should be presented to Parliament as a Budget Paper accompanying the Treasurer’s Budget Speech. </w:t>
      </w:r>
    </w:p>
    <w:p w14:paraId="6FEC8939" w14:textId="354D84E4" w:rsidR="008B4B3E" w:rsidRDefault="008B4B3E" w:rsidP="008B4B3E">
      <w:r>
        <w:t xml:space="preserve">But will </w:t>
      </w:r>
      <w:r w:rsidR="009E12C6">
        <w:t xml:space="preserve">the </w:t>
      </w:r>
      <w:r>
        <w:t xml:space="preserve">investments </w:t>
      </w:r>
      <w:proofErr w:type="gramStart"/>
      <w:r w:rsidR="001B38AE">
        <w:t>foreshadowed</w:t>
      </w:r>
      <w:proofErr w:type="gramEnd"/>
      <w:r w:rsidR="001B38AE">
        <w:t xml:space="preserve"> by the Minister </w:t>
      </w:r>
      <w:r w:rsidRPr="008B4B3E">
        <w:t>support an uplift in R&amp;D investment over the longer term</w:t>
      </w:r>
      <w:r>
        <w:t>? Will they be enough?</w:t>
      </w:r>
    </w:p>
    <w:p w14:paraId="0A36313D" w14:textId="3C20D6A5" w:rsidR="006C49F5" w:rsidRDefault="006C49F5" w:rsidP="006C49F5">
      <w:pPr>
        <w:rPr>
          <w:rFonts w:eastAsia="Aptos"/>
        </w:rPr>
      </w:pPr>
      <w:r>
        <w:rPr>
          <w:rFonts w:eastAsia="Aptos"/>
        </w:rPr>
        <w:t xml:space="preserve">The disappointing aspect of the Budget Tables is that they do not show a material improvement in the </w:t>
      </w:r>
      <w:r w:rsidR="00654991">
        <w:rPr>
          <w:rFonts w:eastAsia="Aptos"/>
        </w:rPr>
        <w:t xml:space="preserve">Commonwealth </w:t>
      </w:r>
      <w:r>
        <w:rPr>
          <w:rFonts w:eastAsia="Aptos"/>
        </w:rPr>
        <w:t xml:space="preserve">Government’s investment in R&amp;D since 2011-12. In fact, </w:t>
      </w:r>
      <w:r w:rsidR="00FE600F">
        <w:rPr>
          <w:rFonts w:eastAsia="Aptos"/>
        </w:rPr>
        <w:t xml:space="preserve">the investment has </w:t>
      </w:r>
      <w:r>
        <w:rPr>
          <w:rFonts w:eastAsia="Aptos"/>
        </w:rPr>
        <w:t>been going backwards.</w:t>
      </w:r>
    </w:p>
    <w:p w14:paraId="2540789F" w14:textId="3ECA55FA" w:rsidR="006C49F5" w:rsidRDefault="006C49F5" w:rsidP="006C49F5">
      <w:r>
        <w:t xml:space="preserve">This Paper delves into the content of the SRI Budget Tables to find out what they mean for building Australia’s R&amp;D capacity and capability. </w:t>
      </w:r>
    </w:p>
    <w:p w14:paraId="488D68A3" w14:textId="08DBCDA5" w:rsidR="001E1B6E" w:rsidRDefault="001E1B6E" w:rsidP="001E1B6E">
      <w:pPr>
        <w:pStyle w:val="Heading1"/>
        <w:rPr>
          <w:rFonts w:eastAsia="Aptos"/>
        </w:rPr>
      </w:pPr>
      <w:bookmarkStart w:id="2" w:name="_Toc160445114"/>
      <w:r>
        <w:rPr>
          <w:rFonts w:eastAsia="Aptos"/>
        </w:rPr>
        <w:t>Background</w:t>
      </w:r>
      <w:bookmarkEnd w:id="2"/>
    </w:p>
    <w:p w14:paraId="73F41BA4" w14:textId="77777777" w:rsidR="001E1B6E" w:rsidRDefault="001E1B6E" w:rsidP="001E1B6E">
      <w:pPr>
        <w:rPr>
          <w:rFonts w:eastAsia="Aptos"/>
          <w:szCs w:val="22"/>
        </w:rPr>
      </w:pPr>
      <w:r>
        <w:rPr>
          <w:rFonts w:eastAsia="Aptos"/>
          <w:szCs w:val="22"/>
        </w:rPr>
        <w:t xml:space="preserve">The </w:t>
      </w:r>
      <w:r>
        <w:rPr>
          <w:rFonts w:eastAsia="Aptos"/>
          <w:i/>
          <w:iCs/>
          <w:szCs w:val="22"/>
        </w:rPr>
        <w:t xml:space="preserve">Australian Universities Accord—Final </w:t>
      </w:r>
      <w:r w:rsidRPr="004C3C2D">
        <w:rPr>
          <w:rFonts w:eastAsia="Aptos"/>
          <w:i/>
          <w:iCs/>
          <w:szCs w:val="22"/>
        </w:rPr>
        <w:t>Report</w:t>
      </w:r>
      <w:r>
        <w:rPr>
          <w:rStyle w:val="FootnoteReference"/>
          <w:rFonts w:eastAsia="Aptos"/>
        </w:rPr>
        <w:footnoteReference w:id="3"/>
      </w:r>
      <w:r>
        <w:rPr>
          <w:rFonts w:eastAsia="Aptos"/>
          <w:szCs w:val="22"/>
        </w:rPr>
        <w:t xml:space="preserve"> has raised the issue of whether the distribution of R&amp;D investment among programs reflects the most appropriate allocation of resources to “</w:t>
      </w:r>
      <w:r w:rsidRPr="0014425D">
        <w:rPr>
          <w:rFonts w:eastAsia="Aptos"/>
          <w:szCs w:val="22"/>
        </w:rPr>
        <w:t>maximise Australia’s R&amp;D competitiveness for economic gain, and environmental, cultural, and social good</w:t>
      </w:r>
      <w:r>
        <w:rPr>
          <w:rFonts w:eastAsia="Aptos"/>
          <w:szCs w:val="22"/>
        </w:rPr>
        <w:t>”</w:t>
      </w:r>
      <w:r w:rsidRPr="0014425D">
        <w:rPr>
          <w:rFonts w:eastAsia="Aptos"/>
          <w:szCs w:val="22"/>
        </w:rPr>
        <w:t>.</w:t>
      </w:r>
      <w:r>
        <w:rPr>
          <w:rFonts w:eastAsia="Aptos"/>
          <w:szCs w:val="22"/>
        </w:rPr>
        <w:t xml:space="preserve"> </w:t>
      </w:r>
    </w:p>
    <w:p w14:paraId="76D54807" w14:textId="2ECA2A24" w:rsidR="001E1B6E" w:rsidRDefault="001E1B6E" w:rsidP="001E1B6E">
      <w:pPr>
        <w:rPr>
          <w:rFonts w:eastAsia="Aptos"/>
          <w:szCs w:val="22"/>
        </w:rPr>
      </w:pPr>
      <w:r>
        <w:rPr>
          <w:rFonts w:eastAsia="Aptos"/>
          <w:szCs w:val="22"/>
        </w:rPr>
        <w:t>For example, questions are often asked about why the RDTI should take up 27% of the R&amp;D Investment</w:t>
      </w:r>
      <w:r w:rsidR="00A50876">
        <w:rPr>
          <w:rFonts w:eastAsia="Aptos"/>
          <w:szCs w:val="22"/>
        </w:rPr>
        <w:t xml:space="preserve"> in the absence of any direction to targeted priority areas, and Health should take up </w:t>
      </w:r>
      <w:r w:rsidR="00A50876">
        <w:rPr>
          <w:rFonts w:eastAsia="Aptos"/>
          <w:szCs w:val="22"/>
        </w:rPr>
        <w:lastRenderedPageBreak/>
        <w:t>15%</w:t>
      </w:r>
      <w:r w:rsidR="00654991">
        <w:rPr>
          <w:rFonts w:eastAsia="Aptos"/>
          <w:szCs w:val="22"/>
        </w:rPr>
        <w:t xml:space="preserve"> at the expense of areas of more interest to Australia’s high potential micro firm and SME population. </w:t>
      </w:r>
    </w:p>
    <w:p w14:paraId="6F3932A5" w14:textId="4A24D3A1" w:rsidR="001E1B6E" w:rsidRDefault="00A50876" w:rsidP="001E1B6E">
      <w:pPr>
        <w:rPr>
          <w:rFonts w:eastAsia="Aptos"/>
          <w:szCs w:val="22"/>
        </w:rPr>
      </w:pPr>
      <w:r>
        <w:rPr>
          <w:noProof/>
        </w:rPr>
        <mc:AlternateContent>
          <mc:Choice Requires="wps">
            <w:drawing>
              <wp:anchor distT="0" distB="0" distL="114300" distR="114300" simplePos="0" relativeHeight="251663360" behindDoc="0" locked="0" layoutInCell="1" allowOverlap="1" wp14:anchorId="26A432AC" wp14:editId="2BEC2DD9">
                <wp:simplePos x="0" y="0"/>
                <wp:positionH relativeFrom="page">
                  <wp:posOffset>3175000</wp:posOffset>
                </wp:positionH>
                <wp:positionV relativeFrom="page">
                  <wp:posOffset>-33883600</wp:posOffset>
                </wp:positionV>
                <wp:extent cx="3657600" cy="365760"/>
                <wp:effectExtent l="0" t="0" r="3175" b="5080"/>
                <wp:wrapNone/>
                <wp:docPr id="32" name="Text Box 15"/>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F1C2D" w14:textId="7D59DF27" w:rsidR="004729F8" w:rsidRDefault="00000000">
                            <w:pPr>
                              <w:pStyle w:val="NoSpacing"/>
                              <w:rPr>
                                <w:color w:val="156082" w:themeColor="accent1"/>
                                <w:sz w:val="26"/>
                                <w:szCs w:val="26"/>
                              </w:rPr>
                            </w:pPr>
                            <w:sdt>
                              <w:sdtPr>
                                <w:rPr>
                                  <w:color w:val="156082"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4729F8">
                                  <w:rPr>
                                    <w:color w:val="156082" w:themeColor="accent1"/>
                                    <w:sz w:val="26"/>
                                    <w:szCs w:val="26"/>
                                  </w:rPr>
                                  <w:t>John H Howard</w:t>
                                </w:r>
                              </w:sdtContent>
                            </w:sdt>
                          </w:p>
                          <w:p w14:paraId="13889E20" w14:textId="5D53C6AD" w:rsidR="004729F8"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4729F8">
                                  <w:rPr>
                                    <w:caps/>
                                    <w:color w:val="595959" w:themeColor="text1" w:themeTint="A6"/>
                                    <w:sz w:val="20"/>
                                    <w:szCs w:val="20"/>
                                  </w:rPr>
                                  <w:t xml:space="preserve">University of </w:t>
                                </w:r>
                                <w:r w:rsidR="006A282A">
                                  <w:rPr>
                                    <w:caps/>
                                    <w:color w:val="595959" w:themeColor="text1" w:themeTint="A6"/>
                                    <w:sz w:val="20"/>
                                    <w:szCs w:val="20"/>
                                  </w:rPr>
                                  <w:t>Technology S</w:t>
                                </w:r>
                                <w:r w:rsidR="004729F8">
                                  <w:rPr>
                                    <w:caps/>
                                    <w:color w:val="595959" w:themeColor="text1" w:themeTint="A6"/>
                                    <w:sz w:val="20"/>
                                    <w:szCs w:val="20"/>
                                  </w:rPr>
                                  <w:t>ydney</w:t>
                                </w:r>
                              </w:sdtContent>
                            </w:sdt>
                            <w:r w:rsidR="004729F8">
                              <w:rPr>
                                <w:caps/>
                                <w:color w:val="595959" w:themeColor="text1" w:themeTint="A6"/>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6A432AC" id="Text Box 15" o:spid="_x0000_s1057" type="#_x0000_t202" style="position:absolute;margin-left:250pt;margin-top:-2668pt;width:4in;height:28.8pt;z-index:251663360;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" filled="f" stroked="f" strokeweight=".5pt">
                <v:textbox style="mso-fit-shape-to-text:t" inset="0,0,0,0">
                  <w:txbxContent>
                    <w:p w14:paraId="1B1F1C2D" w14:textId="7D59DF27" w:rsidR="004729F8" w:rsidRDefault="00000000">
                      <w:pPr>
                        <w:pStyle w:val="NoSpacing"/>
                        <w:rPr>
                          <w:color w:val="156082" w:themeColor="accent1"/>
                          <w:sz w:val="26"/>
                          <w:szCs w:val="26"/>
                        </w:rPr>
                      </w:pPr>
                      <w:sdt>
                        <w:sdtPr>
                          <w:rPr>
                            <w:color w:val="156082" w:themeColor="accent1"/>
                            <w:sz w:val="26"/>
                            <w:szCs w:val="26"/>
                          </w:rPr>
                          <w:alias w:val="Author"/>
                          <w:tag w:val=""/>
                          <w:id w:val="-2041584766"/>
                          <w:dataBinding w:prefixMappings="xmlns:ns0='http://purl.org/dc/elements/1.1/' xmlns:ns1='http://schemas.openxmlformats.org/package/2006/metadata/core-properties' " w:xpath="/ns1:coreProperties[1]/ns0:creator[1]" w:storeItemID="{6C3C8BC8-F283-45AE-878A-BAB7291924A1}"/>
                          <w:text/>
                        </w:sdtPr>
                        <w:sdtContent>
                          <w:r w:rsidR="004729F8">
                            <w:rPr>
                              <w:color w:val="156082" w:themeColor="accent1"/>
                              <w:sz w:val="26"/>
                              <w:szCs w:val="26"/>
                            </w:rPr>
                            <w:t>John H Howard</w:t>
                          </w:r>
                        </w:sdtContent>
                      </w:sdt>
                    </w:p>
                    <w:p w14:paraId="13889E20" w14:textId="5D53C6AD" w:rsidR="004729F8" w:rsidRDefault="00000000">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sidR="004729F8">
                            <w:rPr>
                              <w:caps/>
                              <w:color w:val="595959" w:themeColor="text1" w:themeTint="A6"/>
                              <w:sz w:val="20"/>
                              <w:szCs w:val="20"/>
                            </w:rPr>
                            <w:t xml:space="preserve">University of </w:t>
                          </w:r>
                          <w:r w:rsidR="006A282A">
                            <w:rPr>
                              <w:caps/>
                              <w:color w:val="595959" w:themeColor="text1" w:themeTint="A6"/>
                              <w:sz w:val="20"/>
                              <w:szCs w:val="20"/>
                            </w:rPr>
                            <w:t>Technology S</w:t>
                          </w:r>
                          <w:r w:rsidR="004729F8">
                            <w:rPr>
                              <w:caps/>
                              <w:color w:val="595959" w:themeColor="text1" w:themeTint="A6"/>
                              <w:sz w:val="20"/>
                              <w:szCs w:val="20"/>
                            </w:rPr>
                            <w:t>ydney</w:t>
                          </w:r>
                        </w:sdtContent>
                      </w:sdt>
                      <w:r w:rsidR="004729F8">
                        <w:rPr>
                          <w:caps/>
                          <w:color w:val="595959" w:themeColor="text1" w:themeTint="A6"/>
                          <w:sz w:val="20"/>
                          <w:szCs w:val="20"/>
                        </w:rPr>
                        <w:t xml:space="preserve"> </w:t>
                      </w:r>
                    </w:p>
                  </w:txbxContent>
                </v:textbox>
                <w10:wrap anchorx="page" anchory="page"/>
              </v:shape>
            </w:pict>
          </mc:Fallback>
        </mc:AlternateContent>
      </w:r>
      <w:r w:rsidR="001E1B6E">
        <w:rPr>
          <w:rFonts w:eastAsia="Aptos"/>
          <w:szCs w:val="22"/>
        </w:rPr>
        <w:t xml:space="preserve">In this context, the </w:t>
      </w:r>
      <w:r w:rsidR="001E1B6E" w:rsidRPr="004C3C2D">
        <w:rPr>
          <w:rFonts w:eastAsia="Aptos"/>
          <w:i/>
          <w:iCs/>
          <w:szCs w:val="22"/>
        </w:rPr>
        <w:t>Accord Final Report</w:t>
      </w:r>
      <w:r w:rsidR="001E1B6E">
        <w:rPr>
          <w:rFonts w:eastAsia="Aptos"/>
          <w:szCs w:val="22"/>
        </w:rPr>
        <w:t xml:space="preserve"> recommends that “</w:t>
      </w:r>
      <w:r w:rsidR="001E1B6E" w:rsidRPr="005918BA">
        <w:rPr>
          <w:rFonts w:eastAsia="Aptos"/>
          <w:szCs w:val="22"/>
        </w:rPr>
        <w:t>the Australian Government develop a multi-agency government strategy that sets medium and long-term targets for Australia’s overall national spending on R&amp;D as a percentage of GDP, requiring a significant increase to ensure Australia fully utilises the potential of its research sector</w:t>
      </w:r>
      <w:r w:rsidR="001E1B6E">
        <w:rPr>
          <w:rFonts w:eastAsia="Aptos"/>
          <w:szCs w:val="22"/>
        </w:rPr>
        <w:t xml:space="preserve"> … </w:t>
      </w:r>
      <w:r w:rsidR="001E1B6E" w:rsidRPr="005918BA">
        <w:rPr>
          <w:rFonts w:eastAsia="Aptos"/>
          <w:szCs w:val="22"/>
        </w:rPr>
        <w:t>The strategy should also undertake a root and branch consideration of the suitability and sustainability of the national research funding and governance architecture</w:t>
      </w:r>
      <w:r w:rsidR="001E1B6E">
        <w:rPr>
          <w:rFonts w:eastAsia="Aptos"/>
          <w:szCs w:val="22"/>
        </w:rPr>
        <w:t>”</w:t>
      </w:r>
      <w:r w:rsidR="001E1B6E" w:rsidRPr="005918BA">
        <w:rPr>
          <w:rFonts w:eastAsia="Aptos"/>
          <w:szCs w:val="22"/>
        </w:rPr>
        <w:t>.</w:t>
      </w:r>
    </w:p>
    <w:p w14:paraId="0058D8C2" w14:textId="7C11E0A5" w:rsidR="001E1B6E" w:rsidRDefault="001E1B6E" w:rsidP="001E1B6E">
      <w:pPr>
        <w:rPr>
          <w:rFonts w:eastAsia="Aptos"/>
          <w:szCs w:val="22"/>
        </w:rPr>
      </w:pPr>
      <w:r>
        <w:rPr>
          <w:rFonts w:eastAsia="Aptos"/>
          <w:szCs w:val="22"/>
        </w:rPr>
        <w:t>This project would be expected to recommend substantial increases in Government support for R&amp;D, particularly in new areas and areas currently underfunded or not funded at all.</w:t>
      </w:r>
      <w:r w:rsidR="00D85049">
        <w:rPr>
          <w:rFonts w:eastAsia="Aptos"/>
          <w:szCs w:val="22"/>
        </w:rPr>
        <w:t xml:space="preserve"> </w:t>
      </w:r>
      <w:r>
        <w:rPr>
          <w:rFonts w:eastAsia="Aptos"/>
          <w:szCs w:val="22"/>
        </w:rPr>
        <w:t>Attempting to shift resources from programs that currently appear generously funded (such as the RDTI, Health, and University Block Grants) might not be appropriate in the context of the systemic decline in Government support for R&amp;D.</w:t>
      </w:r>
      <w:r w:rsidR="00D85049">
        <w:rPr>
          <w:rFonts w:eastAsia="Aptos"/>
          <w:szCs w:val="22"/>
        </w:rPr>
        <w:t xml:space="preserve"> </w:t>
      </w:r>
    </w:p>
    <w:p w14:paraId="6B8044D8" w14:textId="77777777" w:rsidR="001E1B6E" w:rsidRDefault="001E1B6E" w:rsidP="001E1B6E">
      <w:r>
        <w:rPr>
          <w:rFonts w:eastAsia="Aptos"/>
          <w:szCs w:val="22"/>
        </w:rPr>
        <w:t xml:space="preserve">The Department of Industry, Sciences and Resources, through the Chief Scientist, is currently seeking feedback on a draft set of </w:t>
      </w:r>
      <w:hyperlink r:id="rId11" w:history="1">
        <w:r w:rsidRPr="00882921">
          <w:rPr>
            <w:rStyle w:val="Hyperlink"/>
            <w:rFonts w:eastAsia="Aptos"/>
            <w:szCs w:val="22"/>
          </w:rPr>
          <w:t>National Science and Research Priorities</w:t>
        </w:r>
      </w:hyperlink>
      <w:r>
        <w:rPr>
          <w:rFonts w:eastAsia="Aptos"/>
          <w:szCs w:val="22"/>
        </w:rPr>
        <w:t xml:space="preserve"> </w:t>
      </w:r>
      <w:r>
        <w:t>that cut across traditional discipline and sector boundaries—</w:t>
      </w:r>
    </w:p>
    <w:p w14:paraId="32DDFF6B" w14:textId="77777777" w:rsidR="001E1B6E" w:rsidRDefault="001E1B6E" w:rsidP="001E1B6E">
      <w:pPr>
        <w:pStyle w:val="ListParagraph"/>
        <w:numPr>
          <w:ilvl w:val="0"/>
          <w:numId w:val="20"/>
        </w:numPr>
        <w:spacing w:line="228" w:lineRule="auto"/>
        <w:ind w:left="714" w:hanging="357"/>
        <w:contextualSpacing/>
      </w:pPr>
      <w:r>
        <w:t xml:space="preserve">Ensuring a net zero future and protecting Australia’s biodiversity </w:t>
      </w:r>
    </w:p>
    <w:p w14:paraId="099C71C8" w14:textId="77777777" w:rsidR="001E1B6E" w:rsidRDefault="001E1B6E" w:rsidP="001E1B6E">
      <w:pPr>
        <w:pStyle w:val="ListParagraph"/>
        <w:numPr>
          <w:ilvl w:val="0"/>
          <w:numId w:val="20"/>
        </w:numPr>
        <w:spacing w:line="228" w:lineRule="auto"/>
        <w:ind w:left="714" w:hanging="357"/>
        <w:contextualSpacing/>
      </w:pPr>
      <w:r>
        <w:t xml:space="preserve">Supporting healthy and thriving communities </w:t>
      </w:r>
    </w:p>
    <w:p w14:paraId="51C5CB30" w14:textId="77777777" w:rsidR="001E1B6E" w:rsidRDefault="001E1B6E" w:rsidP="001E1B6E">
      <w:pPr>
        <w:pStyle w:val="ListParagraph"/>
        <w:numPr>
          <w:ilvl w:val="0"/>
          <w:numId w:val="20"/>
        </w:numPr>
        <w:spacing w:line="228" w:lineRule="auto"/>
        <w:ind w:left="714" w:hanging="357"/>
        <w:contextualSpacing/>
      </w:pPr>
      <w:r>
        <w:t xml:space="preserve">Enabling a productive and innovative economy </w:t>
      </w:r>
    </w:p>
    <w:p w14:paraId="2C10DFDB" w14:textId="77777777" w:rsidR="001E1B6E" w:rsidRPr="00AE7BA7" w:rsidRDefault="001E1B6E" w:rsidP="001E1B6E">
      <w:pPr>
        <w:pStyle w:val="ListParagraph"/>
        <w:numPr>
          <w:ilvl w:val="0"/>
          <w:numId w:val="20"/>
        </w:numPr>
        <w:spacing w:line="228" w:lineRule="auto"/>
        <w:ind w:left="714" w:hanging="357"/>
        <w:contextualSpacing/>
        <w:rPr>
          <w:rFonts w:eastAsia="Aptos"/>
          <w:szCs w:val="22"/>
        </w:rPr>
      </w:pPr>
      <w:r>
        <w:t>Building a stronger, more resilient nation.</w:t>
      </w:r>
    </w:p>
    <w:p w14:paraId="1E68B239" w14:textId="77777777" w:rsidR="001E1B6E" w:rsidRDefault="001E1B6E" w:rsidP="001E1B6E">
      <w:r>
        <w:t>The Chief Scientist is also working on several other projects, including refreshing the National Science Statement and s</w:t>
      </w:r>
      <w:r w:rsidRPr="00AE7BA7">
        <w:t>trengthening Australia’s dialogue and cooperation with priority countries on research collaboration and skills for critical and emerging technologies.</w:t>
      </w:r>
    </w:p>
    <w:p w14:paraId="3189EA22" w14:textId="77777777" w:rsidR="001E1B6E" w:rsidRDefault="001E1B6E" w:rsidP="001E1B6E">
      <w:r>
        <w:t>The finalisation of the priorities might be expected to impact the distribution of Government R&amp;D investment programs.</w:t>
      </w:r>
    </w:p>
    <w:p w14:paraId="49C24509" w14:textId="0EF60C8C" w:rsidR="00376286" w:rsidRPr="006C6D38" w:rsidRDefault="002E538A" w:rsidP="004729F8">
      <w:pPr>
        <w:pStyle w:val="Heading1"/>
        <w:rPr>
          <w:sz w:val="22"/>
          <w:szCs w:val="22"/>
        </w:rPr>
      </w:pPr>
      <w:bookmarkStart w:id="3" w:name="_Toc160445115"/>
      <w:r>
        <w:t>The 3% target of R&amp;D expenditure as a proportion of GDP</w:t>
      </w:r>
      <w:bookmarkEnd w:id="3"/>
      <w:r>
        <w:t xml:space="preserve"> </w:t>
      </w:r>
    </w:p>
    <w:p w14:paraId="421B53FF" w14:textId="77777777" w:rsidR="002E538A" w:rsidRDefault="002E538A" w:rsidP="002E538A">
      <w:r>
        <w:t>In November 2022, the Minister for Industry, Science and Resources announced a target of 3% of expenditure on R&amp;D as a proportion of GDP</w:t>
      </w:r>
      <w:r>
        <w:rPr>
          <w:rStyle w:val="FootnoteReference"/>
          <w:rFonts w:eastAsia="Aptos"/>
        </w:rPr>
        <w:footnoteReference w:id="4"/>
      </w:r>
      <w:r>
        <w:t xml:space="preserve">. </w:t>
      </w:r>
    </w:p>
    <w:p w14:paraId="1BF3FB7C" w14:textId="315ECF8B" w:rsidR="00AD0547" w:rsidRDefault="00D34215" w:rsidP="0002506F">
      <w:pPr>
        <w:rPr>
          <w:rFonts w:cs="Aptos"/>
          <w:color w:val="000000"/>
          <w:szCs w:val="22"/>
        </w:rPr>
      </w:pPr>
      <w:r>
        <w:rPr>
          <w:rFonts w:cs="Aptos"/>
          <w:color w:val="000000"/>
          <w:szCs w:val="22"/>
        </w:rPr>
        <w:t>W</w:t>
      </w:r>
      <w:r w:rsidR="00AD0547">
        <w:rPr>
          <w:rFonts w:cs="Aptos"/>
          <w:color w:val="000000"/>
          <w:szCs w:val="22"/>
        </w:rPr>
        <w:t>e are a long way off that target</w:t>
      </w:r>
      <w:r w:rsidR="00931032">
        <w:rPr>
          <w:rFonts w:cs="Aptos"/>
          <w:color w:val="000000"/>
          <w:szCs w:val="22"/>
        </w:rPr>
        <w:t>, and since 2008</w:t>
      </w:r>
      <w:r w:rsidR="00DD5A44">
        <w:rPr>
          <w:rFonts w:cs="Aptos"/>
          <w:color w:val="000000"/>
          <w:szCs w:val="22"/>
        </w:rPr>
        <w:t xml:space="preserve"> and the Global Financial Crisis (GFC)</w:t>
      </w:r>
      <w:r w:rsidR="00FE0B74">
        <w:rPr>
          <w:rFonts w:cs="Aptos"/>
          <w:color w:val="000000"/>
          <w:szCs w:val="22"/>
        </w:rPr>
        <w:t>,</w:t>
      </w:r>
      <w:r w:rsidR="006E459D">
        <w:rPr>
          <w:rFonts w:cs="Aptos"/>
          <w:color w:val="000000"/>
          <w:szCs w:val="22"/>
        </w:rPr>
        <w:t xml:space="preserve"> </w:t>
      </w:r>
      <w:r w:rsidR="00DD5A44">
        <w:rPr>
          <w:rFonts w:cs="Aptos"/>
          <w:color w:val="000000"/>
          <w:szCs w:val="22"/>
        </w:rPr>
        <w:t xml:space="preserve">Australia has been </w:t>
      </w:r>
      <w:r w:rsidR="00AD0547">
        <w:rPr>
          <w:rFonts w:cs="Aptos"/>
          <w:color w:val="000000"/>
          <w:szCs w:val="22"/>
        </w:rPr>
        <w:t xml:space="preserve">falling </w:t>
      </w:r>
      <w:r w:rsidR="00662374">
        <w:rPr>
          <w:rFonts w:cs="Aptos"/>
          <w:color w:val="000000"/>
          <w:szCs w:val="22"/>
        </w:rPr>
        <w:t xml:space="preserve">further </w:t>
      </w:r>
      <w:r w:rsidR="00AD0547">
        <w:rPr>
          <w:rFonts w:cs="Aptos"/>
          <w:color w:val="000000"/>
          <w:szCs w:val="22"/>
        </w:rPr>
        <w:t xml:space="preserve">behind relative to </w:t>
      </w:r>
      <w:r w:rsidR="00992C36">
        <w:rPr>
          <w:rFonts w:cs="Aptos"/>
          <w:color w:val="000000"/>
          <w:szCs w:val="22"/>
        </w:rPr>
        <w:t xml:space="preserve">what we consider </w:t>
      </w:r>
      <w:r w:rsidR="00AD0547">
        <w:rPr>
          <w:rFonts w:cs="Aptos"/>
          <w:color w:val="000000"/>
          <w:szCs w:val="22"/>
        </w:rPr>
        <w:t xml:space="preserve">our </w:t>
      </w:r>
      <w:r w:rsidR="00992C36">
        <w:rPr>
          <w:rFonts w:cs="Aptos"/>
          <w:color w:val="000000"/>
          <w:szCs w:val="22"/>
        </w:rPr>
        <w:t xml:space="preserve">R&amp;D investing </w:t>
      </w:r>
      <w:r w:rsidR="00AD0547">
        <w:rPr>
          <w:rFonts w:cs="Aptos"/>
          <w:color w:val="000000"/>
          <w:szCs w:val="22"/>
        </w:rPr>
        <w:t xml:space="preserve">peers, as shown in </w:t>
      </w:r>
      <w:r w:rsidR="00662374">
        <w:rPr>
          <w:rFonts w:cs="Aptos"/>
          <w:color w:val="000000"/>
          <w:szCs w:val="22"/>
        </w:rPr>
        <w:fldChar w:fldCharType="begin"/>
      </w:r>
      <w:r w:rsidR="00662374">
        <w:rPr>
          <w:rFonts w:cs="Aptos"/>
          <w:color w:val="000000"/>
          <w:szCs w:val="22"/>
        </w:rPr>
        <w:instrText xml:space="preserve"> REF _Ref159527221 \h </w:instrText>
      </w:r>
      <w:r w:rsidR="00662374">
        <w:rPr>
          <w:rFonts w:cs="Aptos"/>
          <w:color w:val="000000"/>
          <w:szCs w:val="22"/>
        </w:rPr>
      </w:r>
      <w:r w:rsidR="00662374">
        <w:rPr>
          <w:rFonts w:cs="Aptos"/>
          <w:color w:val="000000"/>
          <w:szCs w:val="22"/>
        </w:rPr>
        <w:fldChar w:fldCharType="separate"/>
      </w:r>
      <w:r w:rsidR="00875974">
        <w:t xml:space="preserve">Figure </w:t>
      </w:r>
      <w:r w:rsidR="00875974">
        <w:rPr>
          <w:noProof/>
        </w:rPr>
        <w:t>1</w:t>
      </w:r>
      <w:r w:rsidR="00662374">
        <w:rPr>
          <w:rFonts w:cs="Aptos"/>
          <w:color w:val="000000"/>
          <w:szCs w:val="22"/>
        </w:rPr>
        <w:fldChar w:fldCharType="end"/>
      </w:r>
      <w:r w:rsidR="000E25FC">
        <w:rPr>
          <w:rFonts w:cs="Aptos"/>
          <w:color w:val="000000"/>
          <w:szCs w:val="22"/>
        </w:rPr>
        <w:t xml:space="preserve"> (red line)</w:t>
      </w:r>
      <w:r w:rsidR="00992C36">
        <w:rPr>
          <w:rFonts w:cs="Aptos"/>
          <w:color w:val="000000"/>
          <w:szCs w:val="22"/>
        </w:rPr>
        <w:t>.</w:t>
      </w:r>
      <w:r w:rsidR="00931032">
        <w:rPr>
          <w:rFonts w:cs="Aptos"/>
          <w:color w:val="000000"/>
          <w:szCs w:val="22"/>
        </w:rPr>
        <w:t xml:space="preserve"> </w:t>
      </w:r>
    </w:p>
    <w:p w14:paraId="47D7A677" w14:textId="4907B4DB" w:rsidR="000E25FC" w:rsidRDefault="000E25FC" w:rsidP="000E25FC">
      <w:pPr>
        <w:pStyle w:val="Caption"/>
        <w:keepNext/>
        <w:spacing w:before="0" w:after="0"/>
      </w:pPr>
      <w:bookmarkStart w:id="4" w:name="_Ref159527221"/>
      <w:bookmarkStart w:id="5" w:name="_Toc160445129"/>
      <w:r>
        <w:lastRenderedPageBreak/>
        <w:t xml:space="preserve">Figure </w:t>
      </w:r>
      <w:r w:rsidR="00157FCC">
        <w:fldChar w:fldCharType="begin"/>
      </w:r>
      <w:r w:rsidR="00157FCC">
        <w:instrText xml:space="preserve"> SEQ Figure \* ARABIC </w:instrText>
      </w:r>
      <w:r w:rsidR="00157FCC">
        <w:fldChar w:fldCharType="separate"/>
      </w:r>
      <w:r w:rsidR="00875974">
        <w:rPr>
          <w:noProof/>
        </w:rPr>
        <w:t>1</w:t>
      </w:r>
      <w:r w:rsidR="00157FCC">
        <w:fldChar w:fldCharType="end"/>
      </w:r>
      <w:bookmarkEnd w:id="4"/>
      <w:r>
        <w:t>: Gross Expenditure on R&amp;D as a percentage of GDP</w:t>
      </w:r>
      <w:r w:rsidR="00A50876">
        <w:t>—</w:t>
      </w:r>
      <w:r>
        <w:t>Australia and peer nations</w:t>
      </w:r>
      <w:bookmarkEnd w:id="5"/>
    </w:p>
    <w:p w14:paraId="3719EDA3" w14:textId="6752AD4E" w:rsidR="000E25FC" w:rsidRDefault="00A50876" w:rsidP="000E25FC">
      <w:pPr>
        <w:spacing w:before="0" w:after="0"/>
        <w:jc w:val="center"/>
        <w:rPr>
          <w:rFonts w:cs="Aptos"/>
          <w:color w:val="000000"/>
          <w:szCs w:val="22"/>
        </w:rPr>
      </w:pPr>
      <w:r>
        <w:rPr>
          <w:noProof/>
          <w14:ligatures w14:val="standardContextual"/>
        </w:rPr>
        <mc:AlternateContent>
          <mc:Choice Requires="wps">
            <w:drawing>
              <wp:anchor distT="0" distB="0" distL="114300" distR="114300" simplePos="0" relativeHeight="251665408" behindDoc="0" locked="0" layoutInCell="1" allowOverlap="1" wp14:anchorId="1733BA41" wp14:editId="7B6AEAAD">
                <wp:simplePos x="0" y="0"/>
                <wp:positionH relativeFrom="column">
                  <wp:posOffset>-57150</wp:posOffset>
                </wp:positionH>
                <wp:positionV relativeFrom="paragraph">
                  <wp:posOffset>882015</wp:posOffset>
                </wp:positionV>
                <wp:extent cx="5886450" cy="0"/>
                <wp:effectExtent l="0" t="0" r="6350" b="12700"/>
                <wp:wrapNone/>
                <wp:docPr id="909120506" name="Straight Connector 1"/>
                <wp:cNvGraphicFramePr/>
                <a:graphic xmlns:a="http://schemas.openxmlformats.org/drawingml/2006/main">
                  <a:graphicData uri="http://schemas.microsoft.com/office/word/2010/wordprocessingShape">
                    <wps:wsp>
                      <wps:cNvCnPr/>
                      <wps:spPr>
                        <a:xfrm>
                          <a:off x="0" y="0"/>
                          <a:ext cx="5886450" cy="0"/>
                        </a:xfrm>
                        <a:prstGeom prst="line">
                          <a:avLst/>
                        </a:prstGeom>
                        <a:ln w="9525"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583E6AB"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5pt,69.45pt" to="459pt,6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" strokecolor="#4ea72e [3209]">
                <v:stroke dashstyle="dash"/>
              </v:line>
            </w:pict>
          </mc:Fallback>
        </mc:AlternateContent>
      </w:r>
      <w:r w:rsidR="000E25FC">
        <w:rPr>
          <w:noProof/>
          <w14:ligatures w14:val="standardContextual"/>
        </w:rPr>
        <w:drawing>
          <wp:inline distT="0" distB="0" distL="0" distR="0" wp14:anchorId="36D75488" wp14:editId="4B8B0033">
            <wp:extent cx="4751705" cy="2260600"/>
            <wp:effectExtent l="12700" t="12700" r="10795" b="12700"/>
            <wp:docPr id="1482158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58287" name=""/>
                    <pic:cNvPicPr/>
                  </pic:nvPicPr>
                  <pic:blipFill>
                    <a:blip r:embed="rId12"/>
                    <a:stretch>
                      <a:fillRect/>
                    </a:stretch>
                  </pic:blipFill>
                  <pic:spPr>
                    <a:xfrm>
                      <a:off x="0" y="0"/>
                      <a:ext cx="4751705" cy="2260600"/>
                    </a:xfrm>
                    <a:prstGeom prst="rect">
                      <a:avLst/>
                    </a:prstGeom>
                    <a:ln>
                      <a:solidFill>
                        <a:schemeClr val="accent1"/>
                      </a:solidFill>
                    </a:ln>
                  </pic:spPr>
                </pic:pic>
              </a:graphicData>
            </a:graphic>
          </wp:inline>
        </w:drawing>
      </w:r>
    </w:p>
    <w:p w14:paraId="78BE47D9" w14:textId="0ED6310F" w:rsidR="000E25FC" w:rsidRPr="007A1DB0" w:rsidRDefault="000E25FC" w:rsidP="000E25FC">
      <w:pPr>
        <w:spacing w:before="0" w:after="0"/>
        <w:ind w:firstLine="720"/>
        <w:rPr>
          <w:rFonts w:cs="Arial"/>
          <w:color w:val="000080"/>
          <w:sz w:val="15"/>
          <w:szCs w:val="15"/>
          <w:u w:val="single"/>
        </w:rPr>
      </w:pPr>
      <w:r w:rsidRPr="007A1DB0">
        <w:rPr>
          <w:rFonts w:cs="Aptos"/>
          <w:color w:val="000000"/>
          <w:sz w:val="15"/>
          <w:szCs w:val="15"/>
        </w:rPr>
        <w:t xml:space="preserve">Source: OECD </w:t>
      </w:r>
      <w:hyperlink r:id="rId13" w:history="1">
        <w:r w:rsidRPr="007A1DB0">
          <w:rPr>
            <w:rFonts w:cs="Arial"/>
            <w:color w:val="000080"/>
            <w:sz w:val="15"/>
            <w:szCs w:val="15"/>
            <w:u w:val="single"/>
          </w:rPr>
          <w:t>Dataset: Main Science and Technology Indicators</w:t>
        </w:r>
      </w:hyperlink>
      <w:r w:rsidRPr="007A1DB0">
        <w:rPr>
          <w:rFonts w:cs="Arial"/>
          <w:color w:val="000080"/>
          <w:sz w:val="15"/>
          <w:szCs w:val="15"/>
          <w:u w:val="single"/>
        </w:rPr>
        <w:t xml:space="preserve"> </w:t>
      </w:r>
    </w:p>
    <w:p w14:paraId="7C0E92AB" w14:textId="00CC7A44" w:rsidR="000E25FC" w:rsidRDefault="000E25FC" w:rsidP="0002506F">
      <w:pPr>
        <w:rPr>
          <w:rFonts w:cs="Aptos"/>
          <w:color w:val="000000"/>
          <w:szCs w:val="22"/>
        </w:rPr>
      </w:pPr>
      <w:r>
        <w:rPr>
          <w:rFonts w:cs="Aptos"/>
          <w:color w:val="000000"/>
          <w:szCs w:val="22"/>
        </w:rPr>
        <w:t xml:space="preserve">Most of the countries represented in </w:t>
      </w:r>
      <w:r>
        <w:rPr>
          <w:rFonts w:cs="Aptos"/>
          <w:color w:val="000000"/>
          <w:szCs w:val="22"/>
        </w:rPr>
        <w:fldChar w:fldCharType="begin"/>
      </w:r>
      <w:r>
        <w:rPr>
          <w:rFonts w:cs="Aptos"/>
          <w:color w:val="000000"/>
          <w:szCs w:val="22"/>
        </w:rPr>
        <w:instrText xml:space="preserve"> REF _Ref159527221 \h </w:instrText>
      </w:r>
      <w:r>
        <w:rPr>
          <w:rFonts w:cs="Aptos"/>
          <w:color w:val="000000"/>
          <w:szCs w:val="22"/>
        </w:rPr>
      </w:r>
      <w:r>
        <w:rPr>
          <w:rFonts w:cs="Aptos"/>
          <w:color w:val="000000"/>
          <w:szCs w:val="22"/>
        </w:rPr>
        <w:fldChar w:fldCharType="separate"/>
      </w:r>
      <w:r w:rsidR="00875974">
        <w:t xml:space="preserve">Figure </w:t>
      </w:r>
      <w:r w:rsidR="00875974">
        <w:rPr>
          <w:noProof/>
        </w:rPr>
        <w:t>1</w:t>
      </w:r>
      <w:r>
        <w:rPr>
          <w:rFonts w:cs="Aptos"/>
          <w:color w:val="000000"/>
          <w:szCs w:val="22"/>
        </w:rPr>
        <w:fldChar w:fldCharType="end"/>
      </w:r>
      <w:r>
        <w:rPr>
          <w:rFonts w:cs="Aptos"/>
          <w:color w:val="000000"/>
          <w:szCs w:val="22"/>
        </w:rPr>
        <w:t xml:space="preserve"> used the GFC as a call to </w:t>
      </w:r>
      <w:r w:rsidRPr="00D34215">
        <w:rPr>
          <w:rFonts w:cs="Aptos"/>
          <w:i/>
          <w:iCs/>
          <w:color w:val="000000"/>
          <w:szCs w:val="22"/>
        </w:rPr>
        <w:t>step up</w:t>
      </w:r>
      <w:r>
        <w:rPr>
          <w:rFonts w:cs="Aptos"/>
          <w:color w:val="000000"/>
          <w:szCs w:val="22"/>
        </w:rPr>
        <w:t xml:space="preserve"> their investment in R&amp;D</w:t>
      </w:r>
      <w:r w:rsidR="00FE0B74">
        <w:rPr>
          <w:rFonts w:cs="Aptos"/>
          <w:color w:val="000000"/>
          <w:szCs w:val="22"/>
        </w:rPr>
        <w:t>, but</w:t>
      </w:r>
      <w:r>
        <w:rPr>
          <w:rFonts w:cs="Aptos"/>
          <w:color w:val="000000"/>
          <w:szCs w:val="22"/>
        </w:rPr>
        <w:t xml:space="preserve"> Australia did not. </w:t>
      </w:r>
    </w:p>
    <w:tbl>
      <w:tblPr>
        <w:tblStyle w:val="TableGrid"/>
        <w:tblW w:w="0" w:type="auto"/>
        <w:shd w:val="clear" w:color="auto" w:fill="C1E4F5" w:themeFill="accent1" w:themeFillTint="33"/>
        <w:tblLook w:val="04A0" w:firstRow="1" w:lastRow="0" w:firstColumn="1" w:lastColumn="0" w:noHBand="0" w:noVBand="1"/>
      </w:tblPr>
      <w:tblGrid>
        <w:gridCol w:w="9011"/>
      </w:tblGrid>
      <w:tr w:rsidR="00FE600F" w:rsidRPr="00FE600F" w14:paraId="701FC998" w14:textId="77777777" w:rsidTr="00FE600F">
        <w:tc>
          <w:tcPr>
            <w:tcW w:w="9011" w:type="dxa"/>
            <w:shd w:val="clear" w:color="auto" w:fill="C1E4F5" w:themeFill="accent1" w:themeFillTint="33"/>
          </w:tcPr>
          <w:p w14:paraId="725736C5" w14:textId="34E8D300" w:rsidR="00FE600F" w:rsidRPr="00FE600F" w:rsidRDefault="00FE600F" w:rsidP="00FE600F">
            <w:pPr>
              <w:spacing w:before="60" w:after="60" w:line="228" w:lineRule="auto"/>
              <w:jc w:val="center"/>
              <w:rPr>
                <w:rFonts w:cs="Aptos"/>
                <w:b/>
                <w:bCs/>
                <w:color w:val="000000"/>
                <w:sz w:val="18"/>
                <w:szCs w:val="18"/>
              </w:rPr>
            </w:pPr>
            <w:r w:rsidRPr="00FE600F">
              <w:rPr>
                <w:rFonts w:cs="Aptos"/>
                <w:b/>
                <w:bCs/>
                <w:color w:val="000000"/>
                <w:sz w:val="18"/>
                <w:szCs w:val="18"/>
              </w:rPr>
              <w:t>Why 3%?</w:t>
            </w:r>
          </w:p>
          <w:p w14:paraId="5A75F099" w14:textId="77777777" w:rsidR="00FE600F" w:rsidRPr="00FE600F" w:rsidRDefault="00FE600F" w:rsidP="00FE600F">
            <w:pPr>
              <w:spacing w:before="60" w:after="60" w:line="228" w:lineRule="auto"/>
              <w:rPr>
                <w:rFonts w:cs="Aptos"/>
                <w:color w:val="000000"/>
                <w:sz w:val="18"/>
                <w:szCs w:val="18"/>
              </w:rPr>
            </w:pPr>
            <w:r w:rsidRPr="00FE600F">
              <w:rPr>
                <w:rFonts w:cs="Aptos"/>
                <w:color w:val="000000"/>
                <w:sz w:val="18"/>
                <w:szCs w:val="18"/>
              </w:rPr>
              <w:t>The aspiration for countries to allocate 3% of their Gross Domestic Product (GDP) to Research and Development (R&amp;D) expenditure is a widely recognised benchmark and policy goal. This objective is founded on the belief that a higher investment in R&amp;D contributes significantly to economic growth, innovation, and overall competitiveness.</w:t>
            </w:r>
          </w:p>
          <w:p w14:paraId="799C0A60" w14:textId="77777777" w:rsidR="00FE600F" w:rsidRPr="00FE600F" w:rsidRDefault="00FE600F" w:rsidP="00FE600F">
            <w:pPr>
              <w:spacing w:before="60" w:after="60" w:line="228" w:lineRule="auto"/>
              <w:rPr>
                <w:rFonts w:cs="Aptos"/>
                <w:color w:val="000000"/>
                <w:sz w:val="18"/>
                <w:szCs w:val="18"/>
              </w:rPr>
            </w:pPr>
            <w:r w:rsidRPr="00FE600F">
              <w:rPr>
                <w:rFonts w:cs="Aptos"/>
                <w:color w:val="000000"/>
                <w:sz w:val="18"/>
                <w:szCs w:val="18"/>
              </w:rPr>
              <w:t>Several reasons support the pursuit of this 3% target:</w:t>
            </w:r>
          </w:p>
          <w:p w14:paraId="7246FB2F" w14:textId="6BED85DD" w:rsidR="00FE600F" w:rsidRPr="00FE600F" w:rsidRDefault="00FE600F" w:rsidP="00FE600F">
            <w:pPr>
              <w:pStyle w:val="ListParagraph"/>
              <w:numPr>
                <w:ilvl w:val="0"/>
                <w:numId w:val="26"/>
              </w:numPr>
              <w:spacing w:line="228" w:lineRule="auto"/>
              <w:rPr>
                <w:sz w:val="18"/>
                <w:szCs w:val="18"/>
              </w:rPr>
            </w:pPr>
            <w:r w:rsidRPr="00FE600F">
              <w:rPr>
                <w:sz w:val="18"/>
                <w:szCs w:val="18"/>
              </w:rPr>
              <w:t>Innovation and Technological Advancement: Increased R&amp;D spending fosters innovation, leading to the development of new technologies, products, and services. This, in turn, enhances a nation's competitiveness on the global stage.</w:t>
            </w:r>
          </w:p>
          <w:p w14:paraId="281F3316" w14:textId="515CFB1B" w:rsidR="00FE600F" w:rsidRPr="00FE600F" w:rsidRDefault="00FE600F" w:rsidP="00FE600F">
            <w:pPr>
              <w:pStyle w:val="ListParagraph"/>
              <w:numPr>
                <w:ilvl w:val="0"/>
                <w:numId w:val="26"/>
              </w:numPr>
              <w:spacing w:line="228" w:lineRule="auto"/>
              <w:rPr>
                <w:sz w:val="18"/>
                <w:szCs w:val="18"/>
              </w:rPr>
            </w:pPr>
            <w:r w:rsidRPr="00FE600F">
              <w:rPr>
                <w:sz w:val="18"/>
                <w:szCs w:val="18"/>
              </w:rPr>
              <w:t>Economic Growth and Productivity: R&amp;D investment is linked to economic growth and increased productivity. It fuels the development of cutting-edge technologies, which can have widespread applications across various industries, driving economic expansion.</w:t>
            </w:r>
          </w:p>
          <w:p w14:paraId="4FF793F4" w14:textId="411C8E81" w:rsidR="00FE600F" w:rsidRPr="00FE600F" w:rsidRDefault="00FE600F" w:rsidP="00FE600F">
            <w:pPr>
              <w:pStyle w:val="ListParagraph"/>
              <w:numPr>
                <w:ilvl w:val="0"/>
                <w:numId w:val="26"/>
              </w:numPr>
              <w:spacing w:line="228" w:lineRule="auto"/>
              <w:rPr>
                <w:sz w:val="18"/>
                <w:szCs w:val="18"/>
              </w:rPr>
            </w:pPr>
            <w:r w:rsidRPr="00FE600F">
              <w:rPr>
                <w:sz w:val="18"/>
                <w:szCs w:val="18"/>
              </w:rPr>
              <w:t>Job Creation: A thriving R&amp;D sector generates employment opportunities. The development of new technologies and industries often requires skilled workers, contributing to job creation and economic development.</w:t>
            </w:r>
          </w:p>
          <w:p w14:paraId="67F3E3FC" w14:textId="108016F1" w:rsidR="00FE600F" w:rsidRPr="00FE600F" w:rsidRDefault="00FE600F" w:rsidP="00FE600F">
            <w:pPr>
              <w:pStyle w:val="ListParagraph"/>
              <w:numPr>
                <w:ilvl w:val="0"/>
                <w:numId w:val="26"/>
              </w:numPr>
              <w:spacing w:line="228" w:lineRule="auto"/>
              <w:rPr>
                <w:sz w:val="18"/>
                <w:szCs w:val="18"/>
              </w:rPr>
            </w:pPr>
            <w:r w:rsidRPr="00FE600F">
              <w:rPr>
                <w:sz w:val="18"/>
                <w:szCs w:val="18"/>
              </w:rPr>
              <w:t>Global Competitiveness: Nations with a robust R&amp;D sector are better positioned to compete globally. The 3% target reflects a commitment to staying at the forefront of technological advancements, ensuring that a country remains competitive in the international arena.</w:t>
            </w:r>
          </w:p>
          <w:p w14:paraId="127E2D6A" w14:textId="1A39337C" w:rsidR="00FE600F" w:rsidRPr="00FE600F" w:rsidRDefault="00FE600F" w:rsidP="00FE600F">
            <w:pPr>
              <w:pStyle w:val="ListParagraph"/>
              <w:numPr>
                <w:ilvl w:val="0"/>
                <w:numId w:val="26"/>
              </w:numPr>
              <w:spacing w:line="228" w:lineRule="auto"/>
              <w:rPr>
                <w:sz w:val="18"/>
                <w:szCs w:val="18"/>
              </w:rPr>
            </w:pPr>
            <w:r w:rsidRPr="00FE600F">
              <w:rPr>
                <w:sz w:val="18"/>
                <w:szCs w:val="18"/>
              </w:rPr>
              <w:t>Quality of Research Output: Setting a specific percentage of GDP for R&amp;D encourages countries to focus not only on the quantity but also on the quality of research. This can lead to more impactful discoveries and advancements.</w:t>
            </w:r>
          </w:p>
          <w:p w14:paraId="0DA10072" w14:textId="03CB94A2" w:rsidR="00FE600F" w:rsidRPr="00FE600F" w:rsidRDefault="00FE600F" w:rsidP="00FE600F">
            <w:pPr>
              <w:pStyle w:val="ListParagraph"/>
              <w:numPr>
                <w:ilvl w:val="0"/>
                <w:numId w:val="26"/>
              </w:numPr>
              <w:spacing w:line="228" w:lineRule="auto"/>
              <w:rPr>
                <w:sz w:val="18"/>
                <w:szCs w:val="18"/>
              </w:rPr>
            </w:pPr>
            <w:r w:rsidRPr="00FE600F">
              <w:rPr>
                <w:sz w:val="18"/>
                <w:szCs w:val="18"/>
              </w:rPr>
              <w:t>Scientific and Technological Leadership: Achieving the 3% goal is seen as a pathway to establishing leadership in science and technology. It enables countries to take the lead in critical areas, influencing global standards and developments.</w:t>
            </w:r>
          </w:p>
          <w:p w14:paraId="749ACD15" w14:textId="5888A7D8" w:rsidR="00FE600F" w:rsidRPr="00FE600F" w:rsidRDefault="00FE600F" w:rsidP="00FE600F">
            <w:pPr>
              <w:pStyle w:val="ListParagraph"/>
              <w:numPr>
                <w:ilvl w:val="0"/>
                <w:numId w:val="26"/>
              </w:numPr>
              <w:spacing w:line="228" w:lineRule="auto"/>
              <w:rPr>
                <w:sz w:val="18"/>
                <w:szCs w:val="18"/>
              </w:rPr>
            </w:pPr>
            <w:r w:rsidRPr="00FE600F">
              <w:rPr>
                <w:sz w:val="18"/>
                <w:szCs w:val="18"/>
              </w:rPr>
              <w:t>Addressing Societal Challenges: R&amp;D investment is instrumental in solving pressing societal challenges, such as healthcare, climate change, and energy. The 3% target signals a commitment to leveraging research for the betterment of society.</w:t>
            </w:r>
          </w:p>
          <w:p w14:paraId="71BA9D41" w14:textId="16D5DBD4" w:rsidR="00FE600F" w:rsidRPr="00FE600F" w:rsidRDefault="00FE600F" w:rsidP="00FE600F">
            <w:pPr>
              <w:pStyle w:val="ListParagraph"/>
              <w:numPr>
                <w:ilvl w:val="0"/>
                <w:numId w:val="26"/>
              </w:numPr>
              <w:spacing w:line="228" w:lineRule="auto"/>
              <w:rPr>
                <w:sz w:val="18"/>
                <w:szCs w:val="18"/>
              </w:rPr>
            </w:pPr>
            <w:r w:rsidRPr="00FE600F">
              <w:rPr>
                <w:sz w:val="18"/>
                <w:szCs w:val="18"/>
              </w:rPr>
              <w:t>Knowledge-Based Economy: Emphasizing R&amp;D expenditure aligns with the transition toward a knowledge-based economy. Countries investing in research and innovation are better positioned to adapt to rapid technological changes and capitalize on intellectual capital.</w:t>
            </w:r>
          </w:p>
          <w:p w14:paraId="055384F1" w14:textId="27DD30FF" w:rsidR="00FE600F" w:rsidRPr="00FE600F" w:rsidRDefault="00FE600F" w:rsidP="00FE600F">
            <w:pPr>
              <w:pStyle w:val="ListParagraph"/>
              <w:numPr>
                <w:ilvl w:val="0"/>
                <w:numId w:val="26"/>
              </w:numPr>
              <w:spacing w:line="228" w:lineRule="auto"/>
              <w:rPr>
                <w:sz w:val="18"/>
                <w:szCs w:val="18"/>
              </w:rPr>
            </w:pPr>
            <w:r w:rsidRPr="00FE600F">
              <w:rPr>
                <w:sz w:val="18"/>
                <w:szCs w:val="18"/>
              </w:rPr>
              <w:t>Long-Term Economic Resilience: R&amp;D is an investment in the future. Countries allocating 3% of GDP to research are better equipped to navigate economic uncertainties, as innovation becomes a driver of resilience and adaptability.</w:t>
            </w:r>
          </w:p>
        </w:tc>
      </w:tr>
    </w:tbl>
    <w:p w14:paraId="24D41E6A" w14:textId="1B1DC70F" w:rsidR="00FE600F" w:rsidRDefault="00FE600F" w:rsidP="0002506F">
      <w:pPr>
        <w:rPr>
          <w:rFonts w:cs="Aptos"/>
          <w:color w:val="000000"/>
          <w:szCs w:val="22"/>
        </w:rPr>
      </w:pPr>
      <w:r w:rsidRPr="00FE600F">
        <w:rPr>
          <w:rFonts w:cs="Aptos"/>
          <w:color w:val="000000"/>
          <w:szCs w:val="22"/>
        </w:rPr>
        <w:t>While the 3% target is widely acknowledged</w:t>
      </w:r>
      <w:r w:rsidR="002E538A">
        <w:rPr>
          <w:rFonts w:cs="Aptos"/>
          <w:color w:val="000000"/>
          <w:szCs w:val="22"/>
        </w:rPr>
        <w:t xml:space="preserve"> internationally</w:t>
      </w:r>
      <w:r w:rsidRPr="00FE600F">
        <w:rPr>
          <w:rFonts w:cs="Aptos"/>
          <w:color w:val="000000"/>
          <w:szCs w:val="22"/>
        </w:rPr>
        <w:t>, its achievement requires a comprehensive policy framework, collaboration between government, academia, and industry, and a conducive environment for research and innovation to flourish.</w:t>
      </w:r>
      <w:r w:rsidR="00D85049">
        <w:rPr>
          <w:rFonts w:cs="Aptos"/>
          <w:color w:val="000000"/>
          <w:szCs w:val="22"/>
        </w:rPr>
        <w:t xml:space="preserve"> </w:t>
      </w:r>
    </w:p>
    <w:p w14:paraId="79B73821" w14:textId="77777777" w:rsidR="00A32921" w:rsidRDefault="00931032" w:rsidP="00AC7FA7">
      <w:pPr>
        <w:rPr>
          <w:rFonts w:cs="Aptos"/>
          <w:color w:val="000000"/>
          <w:szCs w:val="22"/>
        </w:rPr>
      </w:pPr>
      <w:r>
        <w:rPr>
          <w:rFonts w:cs="Aptos"/>
          <w:color w:val="000000"/>
          <w:szCs w:val="22"/>
        </w:rPr>
        <w:t>For Australia to make the 3%</w:t>
      </w:r>
      <w:r w:rsidR="00AC7FA7">
        <w:rPr>
          <w:rFonts w:cs="Aptos"/>
          <w:color w:val="000000"/>
          <w:szCs w:val="22"/>
        </w:rPr>
        <w:t xml:space="preserve"> </w:t>
      </w:r>
      <w:r>
        <w:rPr>
          <w:rFonts w:cs="Aptos"/>
          <w:color w:val="000000"/>
          <w:szCs w:val="22"/>
        </w:rPr>
        <w:t xml:space="preserve">target </w:t>
      </w:r>
      <w:r w:rsidR="00AC7FA7">
        <w:rPr>
          <w:rFonts w:cs="Aptos"/>
          <w:color w:val="000000"/>
          <w:szCs w:val="22"/>
        </w:rPr>
        <w:t>more than a</w:t>
      </w:r>
      <w:r>
        <w:rPr>
          <w:rFonts w:cs="Aptos"/>
          <w:color w:val="000000"/>
          <w:szCs w:val="22"/>
        </w:rPr>
        <w:t xml:space="preserve"> rhetorical </w:t>
      </w:r>
      <w:r w:rsidR="00AC7FA7">
        <w:rPr>
          <w:rFonts w:cs="Aptos"/>
          <w:color w:val="000000"/>
          <w:szCs w:val="22"/>
        </w:rPr>
        <w:t xml:space="preserve">aspiration, serious investments are required by the </w:t>
      </w:r>
      <w:r w:rsidR="00992C36">
        <w:rPr>
          <w:rFonts w:cs="Aptos"/>
          <w:color w:val="000000"/>
          <w:szCs w:val="22"/>
        </w:rPr>
        <w:t>b</w:t>
      </w:r>
      <w:r w:rsidR="00AC7FA7">
        <w:rPr>
          <w:rFonts w:cs="Aptos"/>
          <w:color w:val="000000"/>
          <w:szCs w:val="22"/>
        </w:rPr>
        <w:t xml:space="preserve">usiness and </w:t>
      </w:r>
      <w:r w:rsidR="00992C36">
        <w:rPr>
          <w:rFonts w:cs="Aptos"/>
          <w:color w:val="000000"/>
          <w:szCs w:val="22"/>
        </w:rPr>
        <w:t>g</w:t>
      </w:r>
      <w:r w:rsidR="00AC7FA7">
        <w:rPr>
          <w:rFonts w:cs="Aptos"/>
          <w:color w:val="000000"/>
          <w:szCs w:val="22"/>
        </w:rPr>
        <w:t xml:space="preserve">overnment </w:t>
      </w:r>
      <w:r w:rsidR="00992C36">
        <w:rPr>
          <w:rFonts w:cs="Aptos"/>
          <w:color w:val="000000"/>
          <w:szCs w:val="22"/>
        </w:rPr>
        <w:t>s</w:t>
      </w:r>
      <w:r w:rsidR="00AC7FA7">
        <w:rPr>
          <w:rFonts w:cs="Aptos"/>
          <w:color w:val="000000"/>
          <w:szCs w:val="22"/>
        </w:rPr>
        <w:t xml:space="preserve">ectors. </w:t>
      </w:r>
    </w:p>
    <w:p w14:paraId="2466DF86" w14:textId="6AE5A004" w:rsidR="00AC7FA7" w:rsidRDefault="00AC7FA7" w:rsidP="00AC7FA7">
      <w:r>
        <w:lastRenderedPageBreak/>
        <w:t xml:space="preserve">A possible bright light is higher education investment in R&amp;D, where the Australian investment </w:t>
      </w:r>
      <w:r w:rsidR="00992C36">
        <w:t xml:space="preserve">as a proportion of GDP </w:t>
      </w:r>
      <w:r>
        <w:t>is among the highest in the world. Many have observed that higher education is doing the “heavy lifting”</w:t>
      </w:r>
      <w:r w:rsidR="00DD5A44">
        <w:t xml:space="preserve"> in Australia’s national R&amp;D effort</w:t>
      </w:r>
      <w:r w:rsidR="00C972DA">
        <w:t xml:space="preserve">, </w:t>
      </w:r>
      <w:r w:rsidR="00DD5A44">
        <w:t>enabled by fees paid by i</w:t>
      </w:r>
      <w:r w:rsidR="00C972DA">
        <w:t>nternational students</w:t>
      </w:r>
      <w:r w:rsidR="00DD5A44">
        <w:t xml:space="preserve"> and the R&amp;D recorded by overseas PhD and postdoctoral candidates</w:t>
      </w:r>
      <w:r w:rsidR="00901136">
        <w:rPr>
          <w:rStyle w:val="FootnoteReference"/>
        </w:rPr>
        <w:footnoteReference w:id="5"/>
      </w:r>
      <w:r w:rsidR="00DD5A44">
        <w:t>.</w:t>
      </w:r>
      <w:r w:rsidR="00D85049">
        <w:t xml:space="preserve"> </w:t>
      </w:r>
    </w:p>
    <w:p w14:paraId="1999E216" w14:textId="40957BC6" w:rsidR="00AC7FA7" w:rsidRDefault="00AC7FA7" w:rsidP="00AC7FA7">
      <w:r>
        <w:t>Others would argue that the higher education sector is not a</w:t>
      </w:r>
      <w:r w:rsidR="00FE0B74">
        <w:t>ppropriate for leading</w:t>
      </w:r>
      <w:r>
        <w:t xml:space="preserve"> Australia’s transformation from a commodity-based economy to a modern, </w:t>
      </w:r>
      <w:r w:rsidR="00A32921">
        <w:t>vibrant,</w:t>
      </w:r>
      <w:r>
        <w:t xml:space="preserve"> and dynamic industrial ecosystem.</w:t>
      </w:r>
      <w:r w:rsidR="00D85049">
        <w:t xml:space="preserve"> </w:t>
      </w:r>
      <w:r>
        <w:t>It is the business and government sectors that are not pulling their weight.</w:t>
      </w:r>
      <w:r w:rsidR="00D85049">
        <w:t xml:space="preserve"> </w:t>
      </w:r>
      <w:r>
        <w:t xml:space="preserve">All have </w:t>
      </w:r>
      <w:r w:rsidR="00652550">
        <w:t xml:space="preserve">distinct but complementary </w:t>
      </w:r>
      <w:r>
        <w:t xml:space="preserve">roles in the “triple helix” of business-higher education-government collaboration. </w:t>
      </w:r>
    </w:p>
    <w:p w14:paraId="3266B038" w14:textId="67005EEB" w:rsidR="00F02A64" w:rsidRDefault="000E25FC" w:rsidP="00F02A64">
      <w:pPr>
        <w:pStyle w:val="Heading1"/>
        <w:rPr>
          <w:rFonts w:eastAsia="Aptos"/>
        </w:rPr>
      </w:pPr>
      <w:bookmarkStart w:id="6" w:name="_Toc160026275"/>
      <w:bookmarkStart w:id="7" w:name="_Toc160445116"/>
      <w:r>
        <w:rPr>
          <w:rFonts w:eastAsia="Aptos"/>
        </w:rPr>
        <w:t xml:space="preserve">Trends in Australian </w:t>
      </w:r>
      <w:r w:rsidR="00F02A64">
        <w:rPr>
          <w:rFonts w:eastAsia="Aptos"/>
        </w:rPr>
        <w:t xml:space="preserve">Government R&amp;D </w:t>
      </w:r>
      <w:r w:rsidR="005E6503">
        <w:rPr>
          <w:rFonts w:eastAsia="Aptos"/>
        </w:rPr>
        <w:t>i</w:t>
      </w:r>
      <w:r w:rsidR="00F02A64">
        <w:rPr>
          <w:rFonts w:eastAsia="Aptos"/>
        </w:rPr>
        <w:t>nvestment as a proportion of GDP</w:t>
      </w:r>
      <w:bookmarkEnd w:id="6"/>
      <w:bookmarkEnd w:id="7"/>
    </w:p>
    <w:p w14:paraId="28832FE8" w14:textId="00DDFF73" w:rsidR="00F02A64" w:rsidRDefault="00F02A64" w:rsidP="00F02A64">
      <w:pPr>
        <w:rPr>
          <w:rFonts w:eastAsia="Aptos"/>
        </w:rPr>
      </w:pPr>
      <w:r>
        <w:rPr>
          <w:rFonts w:eastAsia="Aptos"/>
        </w:rPr>
        <w:t xml:space="preserve">The </w:t>
      </w:r>
      <w:r w:rsidRPr="005E1577">
        <w:rPr>
          <w:rFonts w:eastAsia="Aptos"/>
          <w:i/>
          <w:iCs/>
        </w:rPr>
        <w:t xml:space="preserve">SRI </w:t>
      </w:r>
      <w:r w:rsidR="00652550" w:rsidRPr="005E1577">
        <w:rPr>
          <w:rFonts w:eastAsia="Aptos"/>
          <w:i/>
          <w:iCs/>
        </w:rPr>
        <w:t xml:space="preserve">Budget </w:t>
      </w:r>
      <w:r w:rsidRPr="005E1577">
        <w:rPr>
          <w:rFonts w:eastAsia="Aptos"/>
          <w:i/>
          <w:iCs/>
        </w:rPr>
        <w:t>Tables</w:t>
      </w:r>
      <w:r w:rsidRPr="00F02A64">
        <w:rPr>
          <w:rFonts w:eastAsia="Aptos"/>
        </w:rPr>
        <w:t xml:space="preserve"> report that Australian Government Investment in R&amp;D now stands at 0.49% of GDP. It </w:t>
      </w:r>
      <w:r w:rsidR="00FE0B74">
        <w:rPr>
          <w:rFonts w:eastAsia="Aptos"/>
        </w:rPr>
        <w:t>peaked at</w:t>
      </w:r>
      <w:r w:rsidR="00FB1248">
        <w:rPr>
          <w:rFonts w:eastAsia="Aptos"/>
        </w:rPr>
        <w:t xml:space="preserve"> </w:t>
      </w:r>
      <w:r w:rsidRPr="00F02A64">
        <w:rPr>
          <w:rFonts w:eastAsia="Aptos"/>
        </w:rPr>
        <w:t>0.73% in 1993-94, then trend</w:t>
      </w:r>
      <w:r w:rsidR="00FB1248">
        <w:rPr>
          <w:rFonts w:eastAsia="Aptos"/>
        </w:rPr>
        <w:t xml:space="preserve">ed </w:t>
      </w:r>
      <w:r w:rsidRPr="00F02A64">
        <w:rPr>
          <w:rFonts w:eastAsia="Aptos"/>
        </w:rPr>
        <w:t>down</w:t>
      </w:r>
      <w:r w:rsidR="00652550">
        <w:rPr>
          <w:rFonts w:eastAsia="Aptos"/>
        </w:rPr>
        <w:t xml:space="preserve"> and up again</w:t>
      </w:r>
      <w:r w:rsidRPr="00F02A64">
        <w:rPr>
          <w:rFonts w:eastAsia="Aptos"/>
        </w:rPr>
        <w:t xml:space="preserve"> to a new peak of 0.64% in 2012-13</w:t>
      </w:r>
      <w:r w:rsidR="00FB1248">
        <w:rPr>
          <w:rFonts w:eastAsia="Aptos"/>
        </w:rPr>
        <w:t xml:space="preserve">. It then trended </w:t>
      </w:r>
      <w:r w:rsidRPr="00F02A64">
        <w:rPr>
          <w:rFonts w:eastAsia="Aptos"/>
        </w:rPr>
        <w:t>down again to the current level</w:t>
      </w:r>
      <w:r w:rsidR="00652550">
        <w:rPr>
          <w:rFonts w:eastAsia="Aptos"/>
        </w:rPr>
        <w:t>—</w:t>
      </w:r>
      <w:r w:rsidR="00652550" w:rsidRPr="00652550">
        <w:rPr>
          <w:rFonts w:eastAsia="Aptos"/>
          <w:i/>
          <w:iCs/>
        </w:rPr>
        <w:t>two-thirds of what it was 30 years ago</w:t>
      </w:r>
      <w:r w:rsidRPr="00F02A64">
        <w:rPr>
          <w:rFonts w:eastAsia="Aptos"/>
        </w:rPr>
        <w:t>.</w:t>
      </w:r>
      <w:r w:rsidR="00D85049">
        <w:rPr>
          <w:rFonts w:eastAsia="Aptos"/>
        </w:rPr>
        <w:t xml:space="preserve"> </w:t>
      </w:r>
      <w:r>
        <w:rPr>
          <w:rFonts w:eastAsia="Aptos"/>
        </w:rPr>
        <w:t>The trend</w:t>
      </w:r>
      <w:r w:rsidR="00FB1248">
        <w:rPr>
          <w:rFonts w:eastAsia="Aptos"/>
        </w:rPr>
        <w:t xml:space="preserve">s are </w:t>
      </w:r>
      <w:r>
        <w:rPr>
          <w:rFonts w:eastAsia="Aptos"/>
        </w:rPr>
        <w:t xml:space="preserve">shown in </w:t>
      </w:r>
      <w:r>
        <w:rPr>
          <w:rFonts w:eastAsia="Aptos"/>
        </w:rPr>
        <w:fldChar w:fldCharType="begin"/>
      </w:r>
      <w:r>
        <w:rPr>
          <w:rFonts w:eastAsia="Aptos"/>
        </w:rPr>
        <w:instrText xml:space="preserve"> REF _Ref159402071 \h </w:instrText>
      </w:r>
      <w:r>
        <w:rPr>
          <w:rFonts w:eastAsia="Aptos"/>
        </w:rPr>
      </w:r>
      <w:r>
        <w:rPr>
          <w:rFonts w:eastAsia="Aptos"/>
        </w:rPr>
        <w:fldChar w:fldCharType="separate"/>
      </w:r>
      <w:r w:rsidR="00875974">
        <w:t xml:space="preserve">Figure </w:t>
      </w:r>
      <w:r w:rsidR="00875974">
        <w:rPr>
          <w:noProof/>
        </w:rPr>
        <w:t>2</w:t>
      </w:r>
      <w:r>
        <w:rPr>
          <w:rFonts w:eastAsia="Aptos"/>
        </w:rPr>
        <w:fldChar w:fldCharType="end"/>
      </w:r>
      <w:r>
        <w:rPr>
          <w:rFonts w:eastAsia="Aptos"/>
        </w:rPr>
        <w:t xml:space="preserve">. </w:t>
      </w:r>
    </w:p>
    <w:p w14:paraId="4BD1AFC5" w14:textId="1395ECFC" w:rsidR="00F02A64" w:rsidRDefault="00F02A64" w:rsidP="00156D4C">
      <w:pPr>
        <w:pStyle w:val="Caption"/>
        <w:keepNext/>
        <w:spacing w:before="0" w:after="0"/>
      </w:pPr>
      <w:bookmarkStart w:id="8" w:name="_Ref159402071"/>
      <w:bookmarkStart w:id="9" w:name="_Toc160445130"/>
      <w:r>
        <w:t xml:space="preserve">Figure </w:t>
      </w:r>
      <w:r w:rsidR="00157FCC">
        <w:fldChar w:fldCharType="begin"/>
      </w:r>
      <w:r w:rsidR="00157FCC">
        <w:instrText xml:space="preserve"> SEQ Figure \* ARABIC </w:instrText>
      </w:r>
      <w:r w:rsidR="00157FCC">
        <w:fldChar w:fldCharType="separate"/>
      </w:r>
      <w:r w:rsidR="00875974">
        <w:rPr>
          <w:noProof/>
        </w:rPr>
        <w:t>2</w:t>
      </w:r>
      <w:r w:rsidR="00157FCC">
        <w:fldChar w:fldCharType="end"/>
      </w:r>
      <w:bookmarkEnd w:id="8"/>
      <w:r>
        <w:t>: Total Government Investment in R&amp;D as a proportion of GDP</w:t>
      </w:r>
      <w:r w:rsidR="00D85049">
        <w:t xml:space="preserve"> </w:t>
      </w:r>
      <w:r>
        <w:t>(current prices)</w:t>
      </w:r>
      <w:bookmarkEnd w:id="9"/>
    </w:p>
    <w:p w14:paraId="46510643" w14:textId="77777777" w:rsidR="00F02A64" w:rsidRPr="00F02A64" w:rsidRDefault="00F02A64" w:rsidP="00156D4C">
      <w:pPr>
        <w:spacing w:before="0" w:after="0"/>
        <w:jc w:val="center"/>
        <w:rPr>
          <w:rFonts w:eastAsia="Aptos"/>
        </w:rPr>
      </w:pPr>
      <w:r>
        <w:rPr>
          <w:noProof/>
          <w14:ligatures w14:val="standardContextual"/>
        </w:rPr>
        <w:drawing>
          <wp:inline distT="0" distB="0" distL="0" distR="0" wp14:anchorId="08DA3D5E" wp14:editId="0DAE25D9">
            <wp:extent cx="4968000" cy="2415600"/>
            <wp:effectExtent l="12700" t="12700" r="10795" b="10160"/>
            <wp:docPr id="1299789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789377" name=""/>
                    <pic:cNvPicPr/>
                  </pic:nvPicPr>
                  <pic:blipFill rotWithShape="1">
                    <a:blip r:embed="rId14"/>
                    <a:srcRect t="9672"/>
                    <a:stretch/>
                  </pic:blipFill>
                  <pic:spPr bwMode="auto">
                    <a:xfrm>
                      <a:off x="0" y="0"/>
                      <a:ext cx="4968000" cy="24156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D6A0F2F" w14:textId="77777777" w:rsidR="00F02A64" w:rsidRDefault="00F02A64" w:rsidP="00156D4C">
      <w:pPr>
        <w:spacing w:before="0" w:after="0"/>
        <w:ind w:left="720"/>
        <w:rPr>
          <w:rFonts w:eastAsia="Aptos"/>
          <w:bCs/>
          <w:sz w:val="16"/>
          <w:szCs w:val="16"/>
        </w:rPr>
      </w:pPr>
      <w:r w:rsidRPr="00F02A64">
        <w:rPr>
          <w:rFonts w:eastAsia="Aptos"/>
          <w:bCs/>
          <w:sz w:val="16"/>
          <w:szCs w:val="16"/>
        </w:rPr>
        <w:t>Source: SRI Budget Tables</w:t>
      </w:r>
    </w:p>
    <w:p w14:paraId="14E66FE3" w14:textId="39AD245F" w:rsidR="00B3337A" w:rsidRDefault="00B3337A" w:rsidP="00B3337A">
      <w:pPr>
        <w:rPr>
          <w:rFonts w:eastAsia="Aptos"/>
        </w:rPr>
      </w:pPr>
      <w:r>
        <w:rPr>
          <w:rFonts w:eastAsia="Aptos"/>
        </w:rPr>
        <w:t xml:space="preserve">Research has consistently shown that </w:t>
      </w:r>
      <w:r w:rsidR="00ED3AB4">
        <w:rPr>
          <w:rFonts w:eastAsia="Aptos"/>
        </w:rPr>
        <w:t>public (</w:t>
      </w:r>
      <w:r>
        <w:rPr>
          <w:rFonts w:eastAsia="Aptos"/>
        </w:rPr>
        <w:t>government</w:t>
      </w:r>
      <w:r w:rsidR="00ED3AB4">
        <w:rPr>
          <w:rFonts w:eastAsia="Aptos"/>
        </w:rPr>
        <w:t>)</w:t>
      </w:r>
      <w:r>
        <w:rPr>
          <w:rFonts w:eastAsia="Aptos"/>
        </w:rPr>
        <w:t xml:space="preserve"> investment </w:t>
      </w:r>
      <w:r w:rsidR="00ED3AB4">
        <w:rPr>
          <w:rFonts w:eastAsia="Aptos"/>
        </w:rPr>
        <w:t>i</w:t>
      </w:r>
      <w:r>
        <w:rPr>
          <w:rFonts w:eastAsia="Aptos"/>
        </w:rPr>
        <w:t>n R&amp;D generates a large multiplier effect and positively impacts business expenditure on R&amp;D—much greater than the effect produced by generic public expenditures</w:t>
      </w:r>
      <w:r>
        <w:rPr>
          <w:rStyle w:val="FootnoteReference"/>
          <w:rFonts w:eastAsia="Aptos"/>
        </w:rPr>
        <w:footnoteReference w:id="6"/>
      </w:r>
      <w:r>
        <w:rPr>
          <w:rFonts w:eastAsia="Aptos"/>
        </w:rPr>
        <w:t xml:space="preserve">. However, </w:t>
      </w:r>
      <w:r w:rsidR="00ED3AB4">
        <w:rPr>
          <w:rFonts w:eastAsia="Aptos"/>
        </w:rPr>
        <w:t>in Australia</w:t>
      </w:r>
      <w:r w:rsidR="00FE0B74">
        <w:rPr>
          <w:rFonts w:eastAsia="Aptos"/>
        </w:rPr>
        <w:t>,</w:t>
      </w:r>
      <w:r w:rsidR="00ED3AB4">
        <w:rPr>
          <w:rFonts w:eastAsia="Aptos"/>
        </w:rPr>
        <w:t xml:space="preserve"> </w:t>
      </w:r>
      <w:r>
        <w:rPr>
          <w:rFonts w:eastAsia="Aptos"/>
        </w:rPr>
        <w:t>that commitment has been allowed to dissipate</w:t>
      </w:r>
      <w:r w:rsidR="00D85049">
        <w:rPr>
          <w:rFonts w:eastAsia="Aptos"/>
        </w:rPr>
        <w:t xml:space="preserve">. </w:t>
      </w:r>
    </w:p>
    <w:p w14:paraId="5ABCAE5D" w14:textId="7E94949A" w:rsidR="00B3337A" w:rsidRDefault="00F02A64" w:rsidP="00F02A64">
      <w:pPr>
        <w:rPr>
          <w:rFonts w:eastAsia="Aptos"/>
        </w:rPr>
      </w:pPr>
      <w:r>
        <w:rPr>
          <w:rFonts w:eastAsia="Aptos"/>
        </w:rPr>
        <w:t>The fall</w:t>
      </w:r>
      <w:r w:rsidR="00ED3AB4">
        <w:rPr>
          <w:rFonts w:eastAsia="Aptos"/>
        </w:rPr>
        <w:t xml:space="preserve"> in Government </w:t>
      </w:r>
      <w:r>
        <w:rPr>
          <w:rFonts w:eastAsia="Aptos"/>
        </w:rPr>
        <w:t xml:space="preserve">investment in R&amp;D, particularly since 2012-13, is a major contributor to the overall fall in Australia’s R&amp;D effort as a proportion of GDP. This downward trend is a serious concern and does not augur well for building strong R&amp;D collaborations </w:t>
      </w:r>
      <w:r w:rsidR="00D16BBB">
        <w:rPr>
          <w:rFonts w:eastAsia="Aptos"/>
        </w:rPr>
        <w:t>among actors in the national innovation system—</w:t>
      </w:r>
      <w:r>
        <w:rPr>
          <w:rFonts w:eastAsia="Aptos"/>
        </w:rPr>
        <w:t>industry, higher education</w:t>
      </w:r>
      <w:r w:rsidR="00D16BBB">
        <w:rPr>
          <w:rFonts w:eastAsia="Aptos"/>
        </w:rPr>
        <w:t>, government research, and the broader community</w:t>
      </w:r>
      <w:r w:rsidR="004D78FE">
        <w:rPr>
          <w:rFonts w:eastAsia="Aptos"/>
        </w:rPr>
        <w:t xml:space="preserve">. </w:t>
      </w:r>
    </w:p>
    <w:p w14:paraId="55FCCED1" w14:textId="48C7EDAB" w:rsidR="004D78FE" w:rsidRDefault="005E1577" w:rsidP="00F02A64">
      <w:pPr>
        <w:rPr>
          <w:rFonts w:eastAsia="Aptos"/>
        </w:rPr>
      </w:pPr>
      <w:r>
        <w:rPr>
          <w:rFonts w:eastAsia="Aptos"/>
        </w:rPr>
        <w:lastRenderedPageBreak/>
        <w:t>Government</w:t>
      </w:r>
      <w:r w:rsidR="006C6D38">
        <w:rPr>
          <w:rFonts w:eastAsia="Aptos"/>
        </w:rPr>
        <w:t>-</w:t>
      </w:r>
      <w:r>
        <w:rPr>
          <w:rFonts w:eastAsia="Aptos"/>
        </w:rPr>
        <w:t xml:space="preserve">funded research is </w:t>
      </w:r>
      <w:r w:rsidR="004D78FE">
        <w:rPr>
          <w:rFonts w:eastAsia="Aptos"/>
        </w:rPr>
        <w:t xml:space="preserve">often </w:t>
      </w:r>
      <w:r w:rsidR="00F02A64">
        <w:rPr>
          <w:rFonts w:eastAsia="Aptos"/>
        </w:rPr>
        <w:t xml:space="preserve">expected to take </w:t>
      </w:r>
      <w:r w:rsidR="00652550">
        <w:rPr>
          <w:rFonts w:eastAsia="Aptos"/>
        </w:rPr>
        <w:t xml:space="preserve">a </w:t>
      </w:r>
      <w:r w:rsidR="00F02A64">
        <w:rPr>
          <w:rFonts w:eastAsia="Aptos"/>
        </w:rPr>
        <w:t xml:space="preserve">lead </w:t>
      </w:r>
      <w:r w:rsidR="00652550">
        <w:rPr>
          <w:rFonts w:eastAsia="Aptos"/>
        </w:rPr>
        <w:t xml:space="preserve">role </w:t>
      </w:r>
      <w:r w:rsidR="00F02A64">
        <w:rPr>
          <w:rFonts w:eastAsia="Aptos"/>
        </w:rPr>
        <w:t>in</w:t>
      </w:r>
      <w:r w:rsidR="004D78FE">
        <w:rPr>
          <w:rFonts w:eastAsia="Aptos"/>
        </w:rPr>
        <w:t>—</w:t>
      </w:r>
    </w:p>
    <w:p w14:paraId="09B17289" w14:textId="54CAE770" w:rsidR="006D5E9C" w:rsidRPr="004D78FE" w:rsidRDefault="006D5E9C" w:rsidP="00A50876">
      <w:pPr>
        <w:pStyle w:val="ListParagraph"/>
        <w:numPr>
          <w:ilvl w:val="0"/>
          <w:numId w:val="23"/>
        </w:numPr>
        <w:rPr>
          <w:rFonts w:eastAsia="Aptos"/>
        </w:rPr>
      </w:pPr>
      <w:r>
        <w:rPr>
          <w:rFonts w:eastAsia="Aptos"/>
        </w:rPr>
        <w:t>Creating</w:t>
      </w:r>
      <w:r w:rsidRPr="004D78FE">
        <w:rPr>
          <w:rFonts w:eastAsia="Aptos"/>
        </w:rPr>
        <w:t xml:space="preserve"> </w:t>
      </w:r>
      <w:r>
        <w:rPr>
          <w:rFonts w:eastAsia="Aptos"/>
        </w:rPr>
        <w:t xml:space="preserve">and maintaining national </w:t>
      </w:r>
      <w:r w:rsidRPr="004D78FE">
        <w:rPr>
          <w:rFonts w:eastAsia="Aptos"/>
        </w:rPr>
        <w:t xml:space="preserve">scientific </w:t>
      </w:r>
      <w:r>
        <w:rPr>
          <w:rFonts w:eastAsia="Aptos"/>
        </w:rPr>
        <w:t>research facilities</w:t>
      </w:r>
      <w:r w:rsidR="00ED3AB4">
        <w:rPr>
          <w:rFonts w:eastAsia="Aptos"/>
        </w:rPr>
        <w:t xml:space="preserve">, </w:t>
      </w:r>
      <w:r>
        <w:rPr>
          <w:rFonts w:eastAsia="Aptos"/>
        </w:rPr>
        <w:t>expensive instruments</w:t>
      </w:r>
      <w:r w:rsidR="00ED3AB4">
        <w:rPr>
          <w:rFonts w:eastAsia="Aptos"/>
        </w:rPr>
        <w:t xml:space="preserve"> (analytical, measurement, calibrating)</w:t>
      </w:r>
      <w:r>
        <w:rPr>
          <w:rFonts w:eastAsia="Aptos"/>
        </w:rPr>
        <w:t xml:space="preserve">, </w:t>
      </w:r>
      <w:r w:rsidR="00ED3AB4">
        <w:rPr>
          <w:rFonts w:eastAsia="Aptos"/>
        </w:rPr>
        <w:t xml:space="preserve">equipment (scale up and testing, for example), </w:t>
      </w:r>
      <w:r>
        <w:rPr>
          <w:rFonts w:eastAsia="Aptos"/>
        </w:rPr>
        <w:t xml:space="preserve">and developing </w:t>
      </w:r>
      <w:r w:rsidRPr="004D78FE">
        <w:rPr>
          <w:rFonts w:eastAsia="Aptos"/>
        </w:rPr>
        <w:t xml:space="preserve">treatments for </w:t>
      </w:r>
      <w:r>
        <w:rPr>
          <w:rFonts w:eastAsia="Aptos"/>
        </w:rPr>
        <w:t xml:space="preserve">human, </w:t>
      </w:r>
      <w:r w:rsidRPr="004D78FE">
        <w:rPr>
          <w:rFonts w:eastAsia="Aptos"/>
        </w:rPr>
        <w:t>animal</w:t>
      </w:r>
      <w:r>
        <w:rPr>
          <w:rFonts w:eastAsia="Aptos"/>
        </w:rPr>
        <w:t>,</w:t>
      </w:r>
      <w:r w:rsidRPr="004D78FE">
        <w:rPr>
          <w:rFonts w:eastAsia="Aptos"/>
        </w:rPr>
        <w:t xml:space="preserve"> and plant diseases.</w:t>
      </w:r>
    </w:p>
    <w:p w14:paraId="06C37C45" w14:textId="2DCF6974" w:rsidR="00D16BBB" w:rsidRDefault="005E1577" w:rsidP="00A50876">
      <w:pPr>
        <w:pStyle w:val="ListParagraph"/>
        <w:numPr>
          <w:ilvl w:val="0"/>
          <w:numId w:val="23"/>
        </w:numPr>
        <w:rPr>
          <w:rFonts w:eastAsia="Aptos"/>
        </w:rPr>
      </w:pPr>
      <w:r>
        <w:rPr>
          <w:rFonts w:eastAsia="Aptos"/>
        </w:rPr>
        <w:t>R</w:t>
      </w:r>
      <w:r w:rsidR="00D16BBB">
        <w:rPr>
          <w:rFonts w:eastAsia="Aptos"/>
        </w:rPr>
        <w:t xml:space="preserve">educing </w:t>
      </w:r>
      <w:r w:rsidR="00D16BBB" w:rsidRPr="004D78FE">
        <w:rPr>
          <w:rFonts w:eastAsia="Aptos"/>
        </w:rPr>
        <w:t xml:space="preserve">technical uncertainty and risk in </w:t>
      </w:r>
      <w:r>
        <w:rPr>
          <w:rFonts w:eastAsia="Aptos"/>
        </w:rPr>
        <w:t>adopting and applying</w:t>
      </w:r>
      <w:r w:rsidR="00D16BBB" w:rsidRPr="004D78FE">
        <w:rPr>
          <w:rFonts w:eastAsia="Aptos"/>
        </w:rPr>
        <w:t xml:space="preserve"> new technologies</w:t>
      </w:r>
      <w:r w:rsidR="00652550">
        <w:rPr>
          <w:rFonts w:eastAsia="Aptos"/>
        </w:rPr>
        <w:t xml:space="preserve"> </w:t>
      </w:r>
      <w:r>
        <w:rPr>
          <w:rFonts w:eastAsia="Aptos"/>
        </w:rPr>
        <w:t>in</w:t>
      </w:r>
      <w:r w:rsidR="00652550">
        <w:rPr>
          <w:rFonts w:eastAsia="Aptos"/>
        </w:rPr>
        <w:t xml:space="preserve"> </w:t>
      </w:r>
      <w:r>
        <w:rPr>
          <w:rFonts w:eastAsia="Aptos"/>
        </w:rPr>
        <w:t xml:space="preserve">the industries of the future, </w:t>
      </w:r>
      <w:r w:rsidR="005009E0">
        <w:rPr>
          <w:rFonts w:eastAsia="Aptos"/>
        </w:rPr>
        <w:t>including</w:t>
      </w:r>
      <w:r w:rsidR="00652550">
        <w:rPr>
          <w:rFonts w:eastAsia="Aptos"/>
        </w:rPr>
        <w:t xml:space="preserve"> advanced manuf</w:t>
      </w:r>
      <w:r>
        <w:rPr>
          <w:rFonts w:eastAsia="Aptos"/>
        </w:rPr>
        <w:t>ac</w:t>
      </w:r>
      <w:r w:rsidR="00652550">
        <w:rPr>
          <w:rFonts w:eastAsia="Aptos"/>
        </w:rPr>
        <w:t>turing</w:t>
      </w:r>
      <w:r w:rsidR="005009E0">
        <w:rPr>
          <w:rFonts w:eastAsia="Aptos"/>
        </w:rPr>
        <w:t xml:space="preserve">, Quantum Information Sciences, </w:t>
      </w:r>
      <w:proofErr w:type="gramStart"/>
      <w:r w:rsidR="005009E0">
        <w:rPr>
          <w:rFonts w:eastAsia="Aptos"/>
        </w:rPr>
        <w:t>AI</w:t>
      </w:r>
      <w:proofErr w:type="gramEnd"/>
      <w:r w:rsidR="005009E0">
        <w:rPr>
          <w:rFonts w:eastAsia="Aptos"/>
        </w:rPr>
        <w:t xml:space="preserve"> and Machine Learning, 5G and advanced communication, biotechnology</w:t>
      </w:r>
      <w:r w:rsidR="001C7EDD">
        <w:rPr>
          <w:rFonts w:eastAsia="Aptos"/>
        </w:rPr>
        <w:t>.</w:t>
      </w:r>
    </w:p>
    <w:p w14:paraId="4D34B9E2" w14:textId="23B57C94" w:rsidR="004D78FE" w:rsidRPr="004D78FE" w:rsidRDefault="004D78FE" w:rsidP="00A50876">
      <w:pPr>
        <w:pStyle w:val="ListParagraph"/>
        <w:numPr>
          <w:ilvl w:val="0"/>
          <w:numId w:val="23"/>
        </w:numPr>
        <w:rPr>
          <w:rFonts w:eastAsia="Aptos"/>
        </w:rPr>
      </w:pPr>
      <w:r>
        <w:rPr>
          <w:rFonts w:eastAsia="Aptos"/>
        </w:rPr>
        <w:t>U</w:t>
      </w:r>
      <w:r w:rsidRPr="004D78FE">
        <w:rPr>
          <w:rFonts w:eastAsia="Aptos"/>
        </w:rPr>
        <w:t>pdating and extending the stock of useful knowledge</w:t>
      </w:r>
      <w:r w:rsidR="001C7F5D">
        <w:rPr>
          <w:rFonts w:eastAsia="Aptos"/>
        </w:rPr>
        <w:t xml:space="preserve"> </w:t>
      </w:r>
      <w:r w:rsidRPr="004D78FE">
        <w:rPr>
          <w:rFonts w:eastAsia="Aptos"/>
        </w:rPr>
        <w:t>underpin</w:t>
      </w:r>
      <w:r w:rsidR="005E1577">
        <w:rPr>
          <w:rFonts w:eastAsia="Aptos"/>
        </w:rPr>
        <w:t xml:space="preserve">ning </w:t>
      </w:r>
      <w:r w:rsidRPr="004D78FE">
        <w:rPr>
          <w:rFonts w:eastAsia="Aptos"/>
        </w:rPr>
        <w:t>the education and training of the research workforce</w:t>
      </w:r>
      <w:r w:rsidR="005E1577">
        <w:rPr>
          <w:rFonts w:eastAsia="Aptos"/>
        </w:rPr>
        <w:t xml:space="preserve"> recruited to work on business R&amp;D projects</w:t>
      </w:r>
      <w:r w:rsidR="00D16BBB">
        <w:rPr>
          <w:rFonts w:eastAsia="Aptos"/>
        </w:rPr>
        <w:t xml:space="preserve">. </w:t>
      </w:r>
    </w:p>
    <w:p w14:paraId="7B42573F" w14:textId="3D22DCCA" w:rsidR="004D78FE" w:rsidRPr="004D78FE" w:rsidRDefault="001C7F5D" w:rsidP="00A50876">
      <w:pPr>
        <w:pStyle w:val="ListParagraph"/>
        <w:numPr>
          <w:ilvl w:val="0"/>
          <w:numId w:val="23"/>
        </w:numPr>
        <w:rPr>
          <w:rFonts w:eastAsia="Aptos"/>
        </w:rPr>
      </w:pPr>
      <w:r>
        <w:rPr>
          <w:rFonts w:eastAsia="Aptos"/>
        </w:rPr>
        <w:t>S</w:t>
      </w:r>
      <w:r w:rsidR="004D78FE" w:rsidRPr="004D78FE">
        <w:rPr>
          <w:rFonts w:eastAsia="Aptos"/>
        </w:rPr>
        <w:t xml:space="preserve">olving </w:t>
      </w:r>
      <w:r>
        <w:rPr>
          <w:rFonts w:eastAsia="Aptos"/>
        </w:rPr>
        <w:t>economic</w:t>
      </w:r>
      <w:r w:rsidR="00D16BBB">
        <w:rPr>
          <w:rFonts w:eastAsia="Aptos"/>
        </w:rPr>
        <w:t xml:space="preserve">, societal, and environmental </w:t>
      </w:r>
      <w:r w:rsidR="004D78FE" w:rsidRPr="004D78FE">
        <w:rPr>
          <w:rFonts w:eastAsia="Aptos"/>
        </w:rPr>
        <w:t>problems</w:t>
      </w:r>
      <w:r w:rsidR="00D16BBB">
        <w:rPr>
          <w:rFonts w:eastAsia="Aptos"/>
        </w:rPr>
        <w:t>, mitigating climatic, biological, chemical, and physical risks</w:t>
      </w:r>
      <w:r w:rsidR="004D78FE" w:rsidRPr="004D78FE">
        <w:rPr>
          <w:rFonts w:eastAsia="Aptos"/>
        </w:rPr>
        <w:t>.</w:t>
      </w:r>
    </w:p>
    <w:p w14:paraId="3B1A0B57" w14:textId="1EA769AB" w:rsidR="004D78FE" w:rsidRPr="004D78FE" w:rsidRDefault="001C7F5D" w:rsidP="00A50876">
      <w:pPr>
        <w:pStyle w:val="ListParagraph"/>
        <w:numPr>
          <w:ilvl w:val="0"/>
          <w:numId w:val="23"/>
        </w:numPr>
        <w:rPr>
          <w:rFonts w:eastAsia="Aptos"/>
        </w:rPr>
      </w:pPr>
      <w:r>
        <w:rPr>
          <w:rFonts w:eastAsia="Aptos"/>
        </w:rPr>
        <w:t>L</w:t>
      </w:r>
      <w:r w:rsidR="004D78FE" w:rsidRPr="004D78FE">
        <w:rPr>
          <w:rFonts w:eastAsia="Aptos"/>
        </w:rPr>
        <w:t>everag</w:t>
      </w:r>
      <w:r>
        <w:rPr>
          <w:rFonts w:eastAsia="Aptos"/>
        </w:rPr>
        <w:t>ing</w:t>
      </w:r>
      <w:r w:rsidR="004D78FE" w:rsidRPr="004D78FE">
        <w:rPr>
          <w:rFonts w:eastAsia="Aptos"/>
        </w:rPr>
        <w:t xml:space="preserve"> participation in international R&amp;D networks</w:t>
      </w:r>
      <w:r>
        <w:rPr>
          <w:rFonts w:eastAsia="Aptos"/>
        </w:rPr>
        <w:t xml:space="preserve"> </w:t>
      </w:r>
    </w:p>
    <w:p w14:paraId="7131E165" w14:textId="0EE845AA" w:rsidR="004D78FE" w:rsidRPr="004D78FE" w:rsidRDefault="001C7F5D" w:rsidP="00A50876">
      <w:pPr>
        <w:pStyle w:val="ListParagraph"/>
        <w:numPr>
          <w:ilvl w:val="0"/>
          <w:numId w:val="23"/>
        </w:numPr>
        <w:rPr>
          <w:rFonts w:eastAsia="Aptos"/>
        </w:rPr>
      </w:pPr>
      <w:r>
        <w:rPr>
          <w:rFonts w:eastAsia="Aptos"/>
        </w:rPr>
        <w:t xml:space="preserve">Supporting </w:t>
      </w:r>
      <w:r w:rsidR="005E1577">
        <w:rPr>
          <w:rFonts w:eastAsia="Aptos"/>
        </w:rPr>
        <w:t xml:space="preserve">high-risk </w:t>
      </w:r>
      <w:r>
        <w:rPr>
          <w:rFonts w:eastAsia="Aptos"/>
        </w:rPr>
        <w:t>e</w:t>
      </w:r>
      <w:r w:rsidR="004D78FE" w:rsidRPr="004D78FE">
        <w:rPr>
          <w:rFonts w:eastAsia="Aptos"/>
        </w:rPr>
        <w:t>arly</w:t>
      </w:r>
      <w:r>
        <w:rPr>
          <w:rFonts w:eastAsia="Aptos"/>
        </w:rPr>
        <w:t xml:space="preserve">-stage venture capital investment in </w:t>
      </w:r>
      <w:r w:rsidR="005E1577">
        <w:rPr>
          <w:rFonts w:eastAsia="Aptos"/>
        </w:rPr>
        <w:t>new</w:t>
      </w:r>
      <w:r w:rsidR="004D78FE" w:rsidRPr="004D78FE">
        <w:rPr>
          <w:rFonts w:eastAsia="Aptos"/>
        </w:rPr>
        <w:t xml:space="preserve"> technology-based firms</w:t>
      </w:r>
      <w:r w:rsidR="00D16BBB">
        <w:rPr>
          <w:rFonts w:eastAsia="Aptos"/>
        </w:rPr>
        <w:t>.</w:t>
      </w:r>
      <w:r w:rsidR="004D78FE" w:rsidRPr="004D78FE">
        <w:rPr>
          <w:rFonts w:eastAsia="Aptos"/>
        </w:rPr>
        <w:t xml:space="preserve"> </w:t>
      </w:r>
    </w:p>
    <w:p w14:paraId="1BE4D565" w14:textId="7AED6E69" w:rsidR="004D78FE" w:rsidRDefault="00652550" w:rsidP="00A50876">
      <w:pPr>
        <w:pStyle w:val="ListParagraph"/>
        <w:numPr>
          <w:ilvl w:val="0"/>
          <w:numId w:val="23"/>
        </w:numPr>
        <w:rPr>
          <w:rFonts w:eastAsia="Aptos"/>
        </w:rPr>
      </w:pPr>
      <w:r>
        <w:rPr>
          <w:rFonts w:eastAsia="Aptos"/>
        </w:rPr>
        <w:t>Maintaining p</w:t>
      </w:r>
      <w:r w:rsidR="001C7F5D">
        <w:rPr>
          <w:rFonts w:eastAsia="Aptos"/>
        </w:rPr>
        <w:t xml:space="preserve">rescience and preparedness </w:t>
      </w:r>
      <w:r w:rsidR="00FE0B74">
        <w:rPr>
          <w:rFonts w:eastAsia="Aptos"/>
        </w:rPr>
        <w:t>about</w:t>
      </w:r>
      <w:r w:rsidR="001C7F5D">
        <w:rPr>
          <w:rFonts w:eastAsia="Aptos"/>
        </w:rPr>
        <w:t xml:space="preserve"> the future impact of </w:t>
      </w:r>
      <w:r w:rsidR="00D16BBB">
        <w:rPr>
          <w:rFonts w:eastAsia="Aptos"/>
        </w:rPr>
        <w:t>events we may face.</w:t>
      </w:r>
      <w:r w:rsidR="00D85049">
        <w:rPr>
          <w:rFonts w:eastAsia="Aptos"/>
        </w:rPr>
        <w:t xml:space="preserve"> </w:t>
      </w:r>
    </w:p>
    <w:p w14:paraId="1A2CF585" w14:textId="110463A7" w:rsidR="00D46464" w:rsidRDefault="002E538A" w:rsidP="00D46464">
      <w:pPr>
        <w:rPr>
          <w:rFonts w:eastAsia="Aptos"/>
        </w:rPr>
      </w:pPr>
      <w:r>
        <w:rPr>
          <w:rFonts w:eastAsia="Aptos"/>
        </w:rPr>
        <w:t xml:space="preserve">Successive </w:t>
      </w:r>
      <w:r w:rsidR="00D46464">
        <w:rPr>
          <w:rFonts w:eastAsia="Aptos"/>
        </w:rPr>
        <w:t>Government</w:t>
      </w:r>
      <w:r>
        <w:rPr>
          <w:rFonts w:eastAsia="Aptos"/>
        </w:rPr>
        <w:t>s</w:t>
      </w:r>
      <w:r w:rsidR="00D46464">
        <w:rPr>
          <w:rFonts w:eastAsia="Aptos"/>
        </w:rPr>
        <w:t xml:space="preserve"> ha</w:t>
      </w:r>
      <w:r>
        <w:rPr>
          <w:rFonts w:eastAsia="Aptos"/>
        </w:rPr>
        <w:t xml:space="preserve">ve </w:t>
      </w:r>
      <w:r w:rsidR="00D46464">
        <w:rPr>
          <w:rFonts w:eastAsia="Aptos"/>
        </w:rPr>
        <w:t xml:space="preserve">achieved a great deal in these areas, but much more can be done. </w:t>
      </w:r>
    </w:p>
    <w:p w14:paraId="13B531C2" w14:textId="77777777" w:rsidR="001B38AE" w:rsidRDefault="001B38AE" w:rsidP="001B38AE">
      <w:pPr>
        <w:pStyle w:val="Heading1"/>
        <w:rPr>
          <w:rFonts w:eastAsia="Aptos"/>
        </w:rPr>
      </w:pPr>
      <w:bookmarkStart w:id="10" w:name="_Toc160026276"/>
      <w:bookmarkStart w:id="11" w:name="_Toc160445117"/>
      <w:r>
        <w:rPr>
          <w:rFonts w:eastAsia="Aptos"/>
        </w:rPr>
        <w:t>Inflation-adjusted R&amp;D expenditure</w:t>
      </w:r>
      <w:bookmarkEnd w:id="10"/>
      <w:bookmarkEnd w:id="11"/>
    </w:p>
    <w:p w14:paraId="3225838C" w14:textId="77777777" w:rsidR="001B38AE" w:rsidRPr="005B2CCD" w:rsidRDefault="001B38AE" w:rsidP="001B38AE">
      <w:pPr>
        <w:pStyle w:val="Heading2"/>
        <w:rPr>
          <w:rFonts w:eastAsia="Aptos"/>
        </w:rPr>
      </w:pPr>
      <w:bookmarkStart w:id="12" w:name="_Toc160445118"/>
      <w:r>
        <w:rPr>
          <w:rFonts w:eastAsia="Aptos"/>
        </w:rPr>
        <w:t>Overall trend</w:t>
      </w:r>
      <w:bookmarkEnd w:id="12"/>
    </w:p>
    <w:p w14:paraId="294299B3" w14:textId="77777777" w:rsidR="001B38AE" w:rsidRDefault="001B38AE" w:rsidP="001B38AE">
      <w:pPr>
        <w:rPr>
          <w:rFonts w:eastAsia="Aptos"/>
        </w:rPr>
      </w:pPr>
      <w:r>
        <w:rPr>
          <w:rFonts w:eastAsia="Aptos"/>
        </w:rPr>
        <w:t xml:space="preserve">The </w:t>
      </w:r>
      <w:r w:rsidRPr="005E1577">
        <w:rPr>
          <w:rFonts w:eastAsia="Aptos"/>
          <w:i/>
          <w:iCs/>
        </w:rPr>
        <w:t>SRI Budget Tables</w:t>
      </w:r>
      <w:r>
        <w:rPr>
          <w:rFonts w:eastAsia="Aptos"/>
        </w:rPr>
        <w:t xml:space="preserve"> estimate an inflation-adjusted increase in R&amp;D expenditure in 2023-24 of 2.9% (based on 2020-21 dollars). </w:t>
      </w:r>
      <w:r w:rsidRPr="005B2CCD">
        <w:rPr>
          <w:rFonts w:eastAsia="Aptos"/>
        </w:rPr>
        <w:t xml:space="preserve">This </w:t>
      </w:r>
      <w:r>
        <w:rPr>
          <w:rFonts w:eastAsia="Aptos"/>
        </w:rPr>
        <w:t xml:space="preserve">arises </w:t>
      </w:r>
      <w:r w:rsidRPr="005B2CCD">
        <w:rPr>
          <w:rFonts w:eastAsia="Aptos"/>
        </w:rPr>
        <w:t>because of the assumption in the Budget that the GDP deflator</w:t>
      </w:r>
      <w:r>
        <w:rPr>
          <w:rFonts w:eastAsia="Aptos"/>
        </w:rPr>
        <w:t xml:space="preserve"> (generally used to calculate the effect of inflation in the National Accounts)</w:t>
      </w:r>
      <w:r w:rsidRPr="005B2CCD">
        <w:rPr>
          <w:rFonts w:eastAsia="Aptos"/>
        </w:rPr>
        <w:t xml:space="preserve"> would </w:t>
      </w:r>
      <w:r w:rsidRPr="005B2CCD">
        <w:rPr>
          <w:rFonts w:eastAsia="Aptos"/>
          <w:i/>
          <w:iCs/>
        </w:rPr>
        <w:t>fall</w:t>
      </w:r>
      <w:r w:rsidRPr="005B2CCD">
        <w:rPr>
          <w:rFonts w:eastAsia="Aptos"/>
        </w:rPr>
        <w:t xml:space="preserve"> by something in the order of 0.25%.</w:t>
      </w:r>
    </w:p>
    <w:p w14:paraId="7B0F20AB" w14:textId="65032E06" w:rsidR="001B38AE" w:rsidRPr="00627A64" w:rsidRDefault="001B38AE" w:rsidP="001B38AE">
      <w:pPr>
        <w:rPr>
          <w:rFonts w:eastAsia="Aptos"/>
          <w:szCs w:val="22"/>
        </w:rPr>
      </w:pPr>
      <w:r>
        <w:rPr>
          <w:rFonts w:eastAsia="Aptos"/>
          <w:szCs w:val="22"/>
        </w:rPr>
        <w:t>The</w:t>
      </w:r>
      <w:r w:rsidR="00D85049">
        <w:rPr>
          <w:rFonts w:eastAsia="Aptos"/>
          <w:szCs w:val="22"/>
        </w:rPr>
        <w:t xml:space="preserve"> </w:t>
      </w:r>
      <w:r w:rsidRPr="005009E0">
        <w:rPr>
          <w:rFonts w:eastAsia="Aptos"/>
          <w:i/>
          <w:iCs/>
          <w:szCs w:val="22"/>
        </w:rPr>
        <w:t>Mid-Year Economic and Financial Outlook</w:t>
      </w:r>
      <w:r>
        <w:rPr>
          <w:rFonts w:eastAsia="Aptos"/>
          <w:szCs w:val="22"/>
        </w:rPr>
        <w:t xml:space="preserve"> (</w:t>
      </w:r>
      <w:r w:rsidRPr="005B2CCD">
        <w:rPr>
          <w:rFonts w:eastAsia="Aptos"/>
          <w:szCs w:val="22"/>
        </w:rPr>
        <w:t>MYEFO</w:t>
      </w:r>
      <w:r>
        <w:rPr>
          <w:rFonts w:eastAsia="Aptos"/>
          <w:szCs w:val="22"/>
        </w:rPr>
        <w:t>),</w:t>
      </w:r>
      <w:r w:rsidRPr="005B2CCD">
        <w:rPr>
          <w:rFonts w:eastAsia="Aptos"/>
          <w:szCs w:val="22"/>
        </w:rPr>
        <w:t xml:space="preserve"> </w:t>
      </w:r>
      <w:r>
        <w:rPr>
          <w:rFonts w:eastAsia="Aptos"/>
          <w:szCs w:val="22"/>
        </w:rPr>
        <w:t xml:space="preserve">published six months after the Budget, </w:t>
      </w:r>
      <w:r w:rsidRPr="005B2CCD">
        <w:rPr>
          <w:rFonts w:eastAsia="Aptos"/>
          <w:szCs w:val="22"/>
        </w:rPr>
        <w:t>revise</w:t>
      </w:r>
      <w:r>
        <w:rPr>
          <w:rFonts w:eastAsia="Aptos"/>
          <w:szCs w:val="22"/>
        </w:rPr>
        <w:t xml:space="preserve">d the GDP deflator </w:t>
      </w:r>
      <w:r w:rsidRPr="005B2CCD">
        <w:rPr>
          <w:rFonts w:eastAsia="Aptos"/>
          <w:szCs w:val="22"/>
        </w:rPr>
        <w:t xml:space="preserve">to an </w:t>
      </w:r>
      <w:r w:rsidRPr="005B2CCD">
        <w:rPr>
          <w:rFonts w:eastAsia="Aptos"/>
          <w:i/>
          <w:iCs/>
          <w:szCs w:val="22"/>
        </w:rPr>
        <w:t>increase of 2.5%</w:t>
      </w:r>
      <w:r>
        <w:rPr>
          <w:rFonts w:eastAsia="Aptos"/>
          <w:i/>
          <w:iCs/>
          <w:szCs w:val="22"/>
        </w:rPr>
        <w:t xml:space="preserve"> </w:t>
      </w:r>
      <w:r w:rsidRPr="005B2CCD">
        <w:rPr>
          <w:rFonts w:eastAsia="Aptos"/>
          <w:szCs w:val="22"/>
        </w:rPr>
        <w:t>(page 37, Table 2.2)</w:t>
      </w:r>
      <w:r w:rsidRPr="005B2CCD">
        <w:rPr>
          <w:rFonts w:eastAsia="Aptos"/>
          <w:i/>
          <w:iCs/>
          <w:szCs w:val="22"/>
        </w:rPr>
        <w:t xml:space="preserve">. </w:t>
      </w:r>
      <w:r w:rsidRPr="005B2CCD">
        <w:rPr>
          <w:rFonts w:eastAsia="Aptos"/>
          <w:szCs w:val="22"/>
        </w:rPr>
        <w:t xml:space="preserve">This gives </w:t>
      </w:r>
      <w:r>
        <w:rPr>
          <w:rFonts w:eastAsia="Aptos"/>
          <w:szCs w:val="22"/>
        </w:rPr>
        <w:t>an inflation-adjusted increase</w:t>
      </w:r>
      <w:r w:rsidRPr="005B2CCD">
        <w:rPr>
          <w:rFonts w:eastAsia="Aptos"/>
          <w:szCs w:val="22"/>
        </w:rPr>
        <w:t xml:space="preserve"> </w:t>
      </w:r>
      <w:r>
        <w:rPr>
          <w:rFonts w:eastAsia="Aptos"/>
          <w:szCs w:val="22"/>
        </w:rPr>
        <w:t xml:space="preserve">of only 0.6% </w:t>
      </w:r>
      <w:r w:rsidRPr="00627A64">
        <w:rPr>
          <w:rFonts w:eastAsia="Aptos"/>
          <w:szCs w:val="22"/>
        </w:rPr>
        <w:t xml:space="preserve">in the </w:t>
      </w:r>
      <w:r w:rsidRPr="00627A64">
        <w:rPr>
          <w:rFonts w:cs="Aptos"/>
          <w:color w:val="000000"/>
          <w:szCs w:val="22"/>
        </w:rPr>
        <w:t xml:space="preserve">Australian Government's </w:t>
      </w:r>
      <w:r>
        <w:rPr>
          <w:rFonts w:cs="Aptos"/>
          <w:color w:val="000000"/>
          <w:szCs w:val="22"/>
        </w:rPr>
        <w:t xml:space="preserve">2023-24 R&amp;D </w:t>
      </w:r>
      <w:r w:rsidRPr="00627A64">
        <w:rPr>
          <w:rFonts w:cs="Aptos"/>
          <w:color w:val="000000"/>
          <w:szCs w:val="22"/>
        </w:rPr>
        <w:t>investment</w:t>
      </w:r>
      <w:r>
        <w:rPr>
          <w:rFonts w:cs="Aptos"/>
          <w:color w:val="000000"/>
          <w:szCs w:val="22"/>
        </w:rPr>
        <w:t>.</w:t>
      </w:r>
      <w:r w:rsidR="00D85049">
        <w:rPr>
          <w:rFonts w:cs="Aptos"/>
          <w:color w:val="000000"/>
          <w:szCs w:val="22"/>
        </w:rPr>
        <w:t xml:space="preserve"> </w:t>
      </w:r>
    </w:p>
    <w:p w14:paraId="0E654C9D" w14:textId="4E5F6AC2" w:rsidR="001B38AE" w:rsidRPr="00F71E26" w:rsidRDefault="001B38AE" w:rsidP="001B38AE">
      <w:pPr>
        <w:rPr>
          <w:rFonts w:eastAsia="Aptos"/>
          <w:szCs w:val="22"/>
        </w:rPr>
      </w:pPr>
      <w:r>
        <w:rPr>
          <w:rFonts w:eastAsia="Aptos"/>
          <w:szCs w:val="22"/>
        </w:rPr>
        <w:t>Notwithstanding this marginal increase, there has been a continuous downward trend in inflation-adjusted Government R&amp;D investment since 2011-12—by 6.3% to 2023-24 (</w:t>
      </w:r>
      <w:r>
        <w:rPr>
          <w:rFonts w:eastAsia="Aptos"/>
          <w:szCs w:val="22"/>
        </w:rPr>
        <w:fldChar w:fldCharType="begin"/>
      </w:r>
      <w:r>
        <w:rPr>
          <w:rFonts w:eastAsia="Aptos"/>
          <w:szCs w:val="22"/>
        </w:rPr>
        <w:instrText xml:space="preserve"> REF _Ref159553692 \h </w:instrText>
      </w:r>
      <w:r>
        <w:rPr>
          <w:rFonts w:eastAsia="Aptos"/>
          <w:szCs w:val="22"/>
        </w:rPr>
      </w:r>
      <w:r>
        <w:rPr>
          <w:rFonts w:eastAsia="Aptos"/>
          <w:szCs w:val="22"/>
        </w:rPr>
        <w:fldChar w:fldCharType="separate"/>
      </w:r>
      <w:r w:rsidR="00875974">
        <w:t xml:space="preserve">Figure </w:t>
      </w:r>
      <w:r w:rsidR="00875974">
        <w:rPr>
          <w:noProof/>
        </w:rPr>
        <w:t>3</w:t>
      </w:r>
      <w:r>
        <w:rPr>
          <w:rFonts w:eastAsia="Aptos"/>
          <w:szCs w:val="22"/>
        </w:rPr>
        <w:fldChar w:fldCharType="end"/>
      </w:r>
      <w:r>
        <w:rPr>
          <w:rFonts w:eastAsia="Aptos"/>
          <w:szCs w:val="22"/>
        </w:rPr>
        <w:t xml:space="preserve"> below). </w:t>
      </w:r>
    </w:p>
    <w:p w14:paraId="5F38ECB0" w14:textId="141A6633" w:rsidR="001B38AE" w:rsidRDefault="001B38AE" w:rsidP="001B38AE">
      <w:pPr>
        <w:pStyle w:val="Caption"/>
        <w:keepNext/>
        <w:spacing w:before="0" w:after="0"/>
      </w:pPr>
      <w:bookmarkStart w:id="13" w:name="_Ref159553692"/>
      <w:bookmarkStart w:id="14" w:name="_Toc160445131"/>
      <w:r>
        <w:t xml:space="preserve">Figure </w:t>
      </w:r>
      <w:r w:rsidR="00157FCC">
        <w:fldChar w:fldCharType="begin"/>
      </w:r>
      <w:r w:rsidR="00157FCC">
        <w:instrText xml:space="preserve"> SEQ Figure \* ARABIC </w:instrText>
      </w:r>
      <w:r w:rsidR="00157FCC">
        <w:fldChar w:fldCharType="separate"/>
      </w:r>
      <w:r w:rsidR="00875974">
        <w:rPr>
          <w:noProof/>
        </w:rPr>
        <w:t>3</w:t>
      </w:r>
      <w:r w:rsidR="00157FCC">
        <w:fldChar w:fldCharType="end"/>
      </w:r>
      <w:bookmarkEnd w:id="13"/>
      <w:r>
        <w:t xml:space="preserve">: </w:t>
      </w:r>
      <w:r w:rsidRPr="005B2CCD">
        <w:t>Government</w:t>
      </w:r>
      <w:r w:rsidR="00D85049">
        <w:t xml:space="preserve"> </w:t>
      </w:r>
      <w:r>
        <w:t xml:space="preserve">Investment in </w:t>
      </w:r>
      <w:r w:rsidRPr="005B2CCD">
        <w:t xml:space="preserve">R&amp;D </w:t>
      </w:r>
      <w:r>
        <w:t>($m</w:t>
      </w:r>
      <w:r w:rsidR="00832D9F">
        <w:t xml:space="preserve">, </w:t>
      </w:r>
      <w:r>
        <w:t>c</w:t>
      </w:r>
      <w:r w:rsidRPr="005B2CCD">
        <w:t xml:space="preserve">urrent </w:t>
      </w:r>
      <w:r>
        <w:t>p</w:t>
      </w:r>
      <w:r w:rsidRPr="005B2CCD">
        <w:t xml:space="preserve">rices and </w:t>
      </w:r>
      <w:r>
        <w:t>i</w:t>
      </w:r>
      <w:r w:rsidRPr="005B2CCD">
        <w:t>nflation</w:t>
      </w:r>
      <w:r>
        <w:t>-a</w:t>
      </w:r>
      <w:r w:rsidRPr="005B2CCD">
        <w:t>djusted</w:t>
      </w:r>
      <w:r>
        <w:t>)</w:t>
      </w:r>
      <w:bookmarkEnd w:id="14"/>
    </w:p>
    <w:p w14:paraId="25DD0AFC" w14:textId="77777777" w:rsidR="001B38AE" w:rsidRDefault="001B38AE" w:rsidP="001B38AE">
      <w:pPr>
        <w:pStyle w:val="Caption"/>
        <w:keepNext/>
        <w:spacing w:before="0" w:after="0"/>
      </w:pPr>
      <w:r>
        <w:t>2011-12—2023-24</w:t>
      </w:r>
    </w:p>
    <w:p w14:paraId="2BFB205E" w14:textId="77777777" w:rsidR="001B38AE" w:rsidRPr="005B2CCD" w:rsidRDefault="001B38AE" w:rsidP="001B38AE">
      <w:pPr>
        <w:spacing w:before="0" w:after="0"/>
        <w:jc w:val="center"/>
        <w:rPr>
          <w:rFonts w:eastAsia="Aptos"/>
          <w:szCs w:val="22"/>
        </w:rPr>
      </w:pPr>
      <w:r>
        <w:rPr>
          <w:noProof/>
          <w14:ligatures w14:val="standardContextual"/>
        </w:rPr>
        <w:drawing>
          <wp:inline distT="0" distB="0" distL="0" distR="0" wp14:anchorId="7B24F15D" wp14:editId="7E45C07D">
            <wp:extent cx="4896000" cy="1998000"/>
            <wp:effectExtent l="12700" t="12700" r="6350" b="8890"/>
            <wp:docPr id="778327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27940" name=""/>
                    <pic:cNvPicPr/>
                  </pic:nvPicPr>
                  <pic:blipFill>
                    <a:blip r:embed="rId15"/>
                    <a:stretch>
                      <a:fillRect/>
                    </a:stretch>
                  </pic:blipFill>
                  <pic:spPr>
                    <a:xfrm>
                      <a:off x="0" y="0"/>
                      <a:ext cx="4896000" cy="1998000"/>
                    </a:xfrm>
                    <a:prstGeom prst="rect">
                      <a:avLst/>
                    </a:prstGeom>
                    <a:ln>
                      <a:solidFill>
                        <a:schemeClr val="accent1"/>
                      </a:solidFill>
                    </a:ln>
                  </pic:spPr>
                </pic:pic>
              </a:graphicData>
            </a:graphic>
          </wp:inline>
        </w:drawing>
      </w:r>
    </w:p>
    <w:p w14:paraId="5C15802D" w14:textId="77777777" w:rsidR="001B38AE" w:rsidRDefault="001B38AE" w:rsidP="001B38AE">
      <w:pPr>
        <w:spacing w:before="0" w:after="0"/>
        <w:rPr>
          <w:rFonts w:eastAsia="Aptos"/>
          <w:sz w:val="16"/>
          <w:szCs w:val="16"/>
        </w:rPr>
      </w:pPr>
      <w:r w:rsidRPr="005B2CCD">
        <w:rPr>
          <w:rFonts w:eastAsia="Aptos"/>
          <w:sz w:val="16"/>
          <w:szCs w:val="16"/>
        </w:rPr>
        <w:t> </w:t>
      </w:r>
      <w:r>
        <w:rPr>
          <w:rFonts w:eastAsia="Aptos"/>
          <w:sz w:val="16"/>
          <w:szCs w:val="16"/>
        </w:rPr>
        <w:tab/>
      </w:r>
      <w:r w:rsidRPr="005B2CCD">
        <w:rPr>
          <w:rFonts w:eastAsia="Aptos"/>
          <w:sz w:val="16"/>
          <w:szCs w:val="16"/>
        </w:rPr>
        <w:t xml:space="preserve">Source: SRI </w:t>
      </w:r>
      <w:r>
        <w:rPr>
          <w:rFonts w:eastAsia="Aptos"/>
          <w:sz w:val="16"/>
          <w:szCs w:val="16"/>
        </w:rPr>
        <w:t xml:space="preserve">Budget </w:t>
      </w:r>
      <w:r w:rsidRPr="005B2CCD">
        <w:rPr>
          <w:rFonts w:eastAsia="Aptos"/>
          <w:sz w:val="16"/>
          <w:szCs w:val="16"/>
        </w:rPr>
        <w:t>Tables</w:t>
      </w:r>
    </w:p>
    <w:p w14:paraId="3FE329DF" w14:textId="77777777" w:rsidR="001B38AE" w:rsidRPr="005B2CCD" w:rsidRDefault="001B38AE" w:rsidP="001B38AE">
      <w:pPr>
        <w:rPr>
          <w:rFonts w:eastAsia="Aptos"/>
        </w:rPr>
      </w:pPr>
      <w:r>
        <w:rPr>
          <w:rFonts w:eastAsia="Aptos"/>
          <w:szCs w:val="22"/>
        </w:rPr>
        <w:lastRenderedPageBreak/>
        <w:t xml:space="preserve">The spike in 2020-21 is due to the </w:t>
      </w:r>
      <w:r w:rsidRPr="005009E0">
        <w:rPr>
          <w:rFonts w:eastAsia="Aptos"/>
          <w:i/>
          <w:iCs/>
          <w:szCs w:val="22"/>
        </w:rPr>
        <w:t xml:space="preserve">one-off </w:t>
      </w:r>
      <w:r>
        <w:rPr>
          <w:rFonts w:eastAsia="Aptos"/>
          <w:szCs w:val="22"/>
        </w:rPr>
        <w:t xml:space="preserve">COVID-related $2 billion payment to universities under the Research Support Program. </w:t>
      </w:r>
      <w:r w:rsidRPr="00F71E26">
        <w:rPr>
          <w:rFonts w:eastAsia="Aptos"/>
          <w:szCs w:val="22"/>
        </w:rPr>
        <w:t>However, over the four years since 2020-21, there has been an inflation-adjusted reduction in Government R&amp;D investment of 9.9%.</w:t>
      </w:r>
    </w:p>
    <w:p w14:paraId="08CA1C98" w14:textId="77777777" w:rsidR="001B38AE" w:rsidRDefault="001B38AE" w:rsidP="001B38AE">
      <w:pPr>
        <w:pStyle w:val="Heading2"/>
        <w:rPr>
          <w:rFonts w:eastAsia="Aptos"/>
        </w:rPr>
      </w:pPr>
      <w:bookmarkStart w:id="15" w:name="_Toc160445119"/>
      <w:r>
        <w:rPr>
          <w:rFonts w:eastAsia="Aptos"/>
        </w:rPr>
        <w:t>Investments by sector</w:t>
      </w:r>
      <w:bookmarkEnd w:id="15"/>
    </w:p>
    <w:p w14:paraId="4CB798C2" w14:textId="3A28391F" w:rsidR="001B38AE" w:rsidRDefault="001B38AE" w:rsidP="001B38AE">
      <w:pPr>
        <w:rPr>
          <w:rFonts w:eastAsia="Aptos"/>
          <w:szCs w:val="22"/>
        </w:rPr>
      </w:pPr>
      <w:r>
        <w:rPr>
          <w:rFonts w:eastAsia="Aptos"/>
          <w:szCs w:val="22"/>
        </w:rPr>
        <w:t xml:space="preserve">The long-term trends in Government inflation-adjusted R&amp;D sectoral investment since 1993-94 are shown in </w:t>
      </w:r>
      <w:r>
        <w:rPr>
          <w:rFonts w:eastAsia="Aptos"/>
          <w:szCs w:val="22"/>
        </w:rPr>
        <w:fldChar w:fldCharType="begin"/>
      </w:r>
      <w:r>
        <w:rPr>
          <w:rFonts w:eastAsia="Aptos"/>
          <w:szCs w:val="22"/>
        </w:rPr>
        <w:instrText xml:space="preserve"> REF _Ref159385340 \h </w:instrText>
      </w:r>
      <w:r>
        <w:rPr>
          <w:rFonts w:eastAsia="Aptos"/>
          <w:szCs w:val="22"/>
        </w:rPr>
      </w:r>
      <w:r>
        <w:rPr>
          <w:rFonts w:eastAsia="Aptos"/>
          <w:szCs w:val="22"/>
        </w:rPr>
        <w:fldChar w:fldCharType="separate"/>
      </w:r>
      <w:r w:rsidR="00875974">
        <w:t xml:space="preserve">Figure </w:t>
      </w:r>
      <w:r w:rsidR="00875974">
        <w:rPr>
          <w:noProof/>
        </w:rPr>
        <w:t>4</w:t>
      </w:r>
      <w:r>
        <w:rPr>
          <w:rFonts w:eastAsia="Aptos"/>
          <w:szCs w:val="22"/>
        </w:rPr>
        <w:fldChar w:fldCharType="end"/>
      </w:r>
      <w:r>
        <w:rPr>
          <w:rFonts w:eastAsia="Aptos"/>
          <w:szCs w:val="22"/>
        </w:rPr>
        <w:t xml:space="preserve">. </w:t>
      </w:r>
    </w:p>
    <w:p w14:paraId="3A6C2464" w14:textId="2D70A986" w:rsidR="001B38AE" w:rsidRDefault="001B38AE" w:rsidP="001B38AE">
      <w:pPr>
        <w:pStyle w:val="Caption"/>
        <w:keepNext/>
        <w:spacing w:before="0" w:after="0"/>
      </w:pPr>
      <w:bookmarkStart w:id="16" w:name="_Ref159385340"/>
      <w:bookmarkStart w:id="17" w:name="_Toc160445132"/>
      <w:r>
        <w:t xml:space="preserve">Figure </w:t>
      </w:r>
      <w:r w:rsidR="00157FCC">
        <w:fldChar w:fldCharType="begin"/>
      </w:r>
      <w:r w:rsidR="00157FCC">
        <w:instrText xml:space="preserve"> SEQ Figure \* ARABIC </w:instrText>
      </w:r>
      <w:r w:rsidR="00157FCC">
        <w:fldChar w:fldCharType="separate"/>
      </w:r>
      <w:r w:rsidR="00875974">
        <w:rPr>
          <w:noProof/>
        </w:rPr>
        <w:t>4</w:t>
      </w:r>
      <w:r w:rsidR="00157FCC">
        <w:fldChar w:fldCharType="end"/>
      </w:r>
      <w:bookmarkEnd w:id="16"/>
      <w:r>
        <w:t xml:space="preserve">: </w:t>
      </w:r>
      <w:r w:rsidRPr="007C267B">
        <w:t>Australian Government investment in R&amp;D by sector</w:t>
      </w:r>
      <w:r>
        <w:t xml:space="preserve"> 1993-94 to 2023-24</w:t>
      </w:r>
      <w:bookmarkEnd w:id="17"/>
      <w:r>
        <w:t xml:space="preserve"> </w:t>
      </w:r>
    </w:p>
    <w:p w14:paraId="61BCE8F7" w14:textId="77777777" w:rsidR="001B38AE" w:rsidRDefault="001B38AE" w:rsidP="001B38AE">
      <w:pPr>
        <w:pStyle w:val="Caption"/>
        <w:keepNext/>
        <w:spacing w:before="0" w:after="0"/>
      </w:pPr>
      <w:r>
        <w:t>($m, inflation-adjusted)</w:t>
      </w:r>
    </w:p>
    <w:p w14:paraId="2742475D" w14:textId="77777777" w:rsidR="001B38AE" w:rsidRDefault="001B38AE" w:rsidP="001B38AE">
      <w:pPr>
        <w:spacing w:before="0" w:after="0"/>
        <w:jc w:val="center"/>
        <w:rPr>
          <w:rFonts w:eastAsia="Aptos"/>
          <w:szCs w:val="22"/>
        </w:rPr>
      </w:pPr>
      <w:r>
        <w:rPr>
          <w:noProof/>
          <w14:ligatures w14:val="standardContextual"/>
        </w:rPr>
        <w:drawing>
          <wp:inline distT="0" distB="0" distL="0" distR="0" wp14:anchorId="392CFE9B" wp14:editId="0E304CBD">
            <wp:extent cx="4752000" cy="2379600"/>
            <wp:effectExtent l="12700" t="12700" r="10795" b="8255"/>
            <wp:docPr id="596376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376298" name=""/>
                    <pic:cNvPicPr/>
                  </pic:nvPicPr>
                  <pic:blipFill rotWithShape="1">
                    <a:blip r:embed="rId16"/>
                    <a:srcRect t="13150"/>
                    <a:stretch/>
                  </pic:blipFill>
                  <pic:spPr bwMode="auto">
                    <a:xfrm>
                      <a:off x="0" y="0"/>
                      <a:ext cx="4752000" cy="2379600"/>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34B88963" w14:textId="77777777" w:rsidR="001B38AE" w:rsidRDefault="001B38AE" w:rsidP="001B38AE">
      <w:pPr>
        <w:spacing w:before="0" w:after="0"/>
        <w:ind w:firstLine="720"/>
        <w:rPr>
          <w:rFonts w:eastAsia="Aptos"/>
          <w:sz w:val="16"/>
          <w:szCs w:val="16"/>
        </w:rPr>
      </w:pPr>
      <w:r w:rsidRPr="007C267B">
        <w:rPr>
          <w:rFonts w:eastAsia="Aptos"/>
          <w:sz w:val="16"/>
          <w:szCs w:val="16"/>
        </w:rPr>
        <w:t>Source: SRI Budget Tables</w:t>
      </w:r>
    </w:p>
    <w:p w14:paraId="267B6333" w14:textId="27118A29" w:rsidR="001B38AE" w:rsidRDefault="001B38AE" w:rsidP="001B38AE">
      <w:pPr>
        <w:rPr>
          <w:rFonts w:eastAsia="Aptos"/>
          <w:bCs/>
        </w:rPr>
      </w:pPr>
      <w:r w:rsidRPr="007C267B">
        <w:rPr>
          <w:rFonts w:eastAsia="Aptos"/>
          <w:bCs/>
        </w:rPr>
        <w:fldChar w:fldCharType="begin"/>
      </w:r>
      <w:r w:rsidRPr="007C267B">
        <w:rPr>
          <w:rFonts w:eastAsia="Aptos"/>
          <w:bCs/>
        </w:rPr>
        <w:instrText xml:space="preserve"> REF _Ref159385340 \h </w:instrText>
      </w:r>
      <w:r>
        <w:rPr>
          <w:rFonts w:eastAsia="Aptos"/>
          <w:bCs/>
        </w:rPr>
        <w:instrText xml:space="preserve"> \* MERGEFORMAT </w:instrText>
      </w:r>
      <w:r w:rsidRPr="007C267B">
        <w:rPr>
          <w:rFonts w:eastAsia="Aptos"/>
          <w:bCs/>
        </w:rPr>
      </w:r>
      <w:r w:rsidRPr="007C267B">
        <w:rPr>
          <w:rFonts w:eastAsia="Aptos"/>
          <w:bCs/>
        </w:rPr>
        <w:fldChar w:fldCharType="separate"/>
      </w:r>
      <w:r w:rsidR="00875974" w:rsidRPr="00875974">
        <w:rPr>
          <w:bCs/>
        </w:rPr>
        <w:t xml:space="preserve">Figure </w:t>
      </w:r>
      <w:r w:rsidR="00875974" w:rsidRPr="00875974">
        <w:rPr>
          <w:bCs/>
          <w:noProof/>
        </w:rPr>
        <w:t>4</w:t>
      </w:r>
      <w:r w:rsidRPr="007C267B">
        <w:rPr>
          <w:rFonts w:eastAsia="Aptos"/>
          <w:bCs/>
        </w:rPr>
        <w:fldChar w:fldCharType="end"/>
      </w:r>
      <w:r w:rsidRPr="007C267B">
        <w:rPr>
          <w:rFonts w:eastAsia="Aptos"/>
          <w:bCs/>
        </w:rPr>
        <w:t xml:space="preserve"> shows </w:t>
      </w:r>
      <w:r>
        <w:rPr>
          <w:rFonts w:eastAsia="Aptos"/>
          <w:bCs/>
        </w:rPr>
        <w:t>that from 1993-94, there ha</w:t>
      </w:r>
      <w:r w:rsidR="007D53DB">
        <w:rPr>
          <w:rFonts w:eastAsia="Aptos"/>
          <w:bCs/>
        </w:rPr>
        <w:t>d</w:t>
      </w:r>
      <w:r>
        <w:rPr>
          <w:rFonts w:eastAsia="Aptos"/>
          <w:bCs/>
        </w:rPr>
        <w:t xml:space="preserve"> been a substantial increase in business R&amp;D investment. However, since 2012-13, the level of investment has been falling mainly due to changes in eligibility for the R&amp;D Tax Incentives (RDTI) program. There was some increase from 2021-22, reflecting measures to improve access to the program by small to medium businesses.</w:t>
      </w:r>
    </w:p>
    <w:p w14:paraId="669952E6" w14:textId="05BA966E" w:rsidR="001B38AE" w:rsidRDefault="001B38AE" w:rsidP="001B38AE">
      <w:pPr>
        <w:rPr>
          <w:rFonts w:eastAsia="Aptos"/>
          <w:bCs/>
        </w:rPr>
      </w:pPr>
      <w:r>
        <w:rPr>
          <w:rFonts w:eastAsia="Aptos"/>
          <w:bCs/>
        </w:rPr>
        <w:fldChar w:fldCharType="begin"/>
      </w:r>
      <w:r>
        <w:rPr>
          <w:rFonts w:eastAsia="Aptos"/>
          <w:bCs/>
        </w:rPr>
        <w:instrText xml:space="preserve"> REF _Ref159385340 \h </w:instrText>
      </w:r>
      <w:r>
        <w:rPr>
          <w:rFonts w:eastAsia="Aptos"/>
          <w:bCs/>
        </w:rPr>
      </w:r>
      <w:r>
        <w:rPr>
          <w:rFonts w:eastAsia="Aptos"/>
          <w:bCs/>
        </w:rPr>
        <w:fldChar w:fldCharType="separate"/>
      </w:r>
      <w:r w:rsidR="00875974">
        <w:t xml:space="preserve">Figure </w:t>
      </w:r>
      <w:r w:rsidR="00875974">
        <w:rPr>
          <w:noProof/>
        </w:rPr>
        <w:t>4</w:t>
      </w:r>
      <w:r>
        <w:rPr>
          <w:rFonts w:eastAsia="Aptos"/>
          <w:bCs/>
        </w:rPr>
        <w:fldChar w:fldCharType="end"/>
      </w:r>
      <w:r>
        <w:rPr>
          <w:rFonts w:eastAsia="Aptos"/>
          <w:bCs/>
        </w:rPr>
        <w:t xml:space="preserve"> also shows wide fluctuations in the level of Government investment in the higher education sector. In 2023-24, the investment will be equivalent to the level reached in 2003-04. Higher Education institutions are deeply concerned about this level of commitment. </w:t>
      </w:r>
    </w:p>
    <w:p w14:paraId="230E2450" w14:textId="1A4D23E9" w:rsidR="001B38AE" w:rsidRDefault="001B38AE" w:rsidP="001B38AE">
      <w:pPr>
        <w:rPr>
          <w:rFonts w:eastAsia="Aptos"/>
          <w:bCs/>
        </w:rPr>
      </w:pPr>
      <w:r>
        <w:rPr>
          <w:rFonts w:eastAsia="Aptos"/>
          <w:bCs/>
        </w:rPr>
        <w:t>Investment by the Government in its own research activities (principally CSIRO, ANSTO and the DST Group) has barely moved over the period. Internationally, government research institutes and laboratories are important partners in industrial research, as indicated by the 72 Fraunhofer Institutes in Germany and the 42 Government research laboratories in the USA. The Catapult Centres in the UK perform an important role.</w:t>
      </w:r>
      <w:r w:rsidR="00D85049">
        <w:rPr>
          <w:rFonts w:eastAsia="Aptos"/>
          <w:bCs/>
        </w:rPr>
        <w:t xml:space="preserve"> </w:t>
      </w:r>
    </w:p>
    <w:p w14:paraId="7093D3F9" w14:textId="5F269575" w:rsidR="001B38AE" w:rsidRDefault="001B38AE" w:rsidP="001B38AE">
      <w:pPr>
        <w:rPr>
          <w:rFonts w:eastAsia="Aptos"/>
          <w:bCs/>
        </w:rPr>
      </w:pPr>
      <w:r>
        <w:rPr>
          <w:rFonts w:eastAsia="Aptos"/>
          <w:bCs/>
        </w:rPr>
        <w:t>There has been a very large increase in what is termed “multi-sector” investment since 2019-20. This covers the NHMRC,</w:t>
      </w:r>
      <w:r w:rsidR="00D85049">
        <w:rPr>
          <w:rFonts w:eastAsia="Aptos"/>
          <w:bCs/>
        </w:rPr>
        <w:t xml:space="preserve"> </w:t>
      </w:r>
      <w:r>
        <w:rPr>
          <w:rFonts w:eastAsia="Aptos"/>
          <w:bCs/>
        </w:rPr>
        <w:t xml:space="preserve">the MRFF, the CRCs, Rural R&amp;D, and Energy and Environment investments. </w:t>
      </w:r>
    </w:p>
    <w:p w14:paraId="7237D929" w14:textId="77777777" w:rsidR="001B38AE" w:rsidRDefault="001B38AE" w:rsidP="001B38AE">
      <w:pPr>
        <w:pStyle w:val="Heading2"/>
        <w:rPr>
          <w:rFonts w:eastAsia="Aptos"/>
        </w:rPr>
      </w:pPr>
      <w:bookmarkStart w:id="18" w:name="_Toc160445120"/>
      <w:r>
        <w:rPr>
          <w:rFonts w:eastAsia="Aptos"/>
        </w:rPr>
        <w:t>Investments according to socio-economic objective</w:t>
      </w:r>
      <w:bookmarkEnd w:id="18"/>
    </w:p>
    <w:p w14:paraId="6392F4B3" w14:textId="77777777" w:rsidR="001B38AE" w:rsidRDefault="001B38AE" w:rsidP="001B38AE">
      <w:pPr>
        <w:rPr>
          <w:rFonts w:eastAsia="Aptos"/>
          <w:bCs/>
        </w:rPr>
      </w:pPr>
      <w:r>
        <w:rPr>
          <w:rFonts w:eastAsia="Aptos"/>
          <w:bCs/>
        </w:rPr>
        <w:t xml:space="preserve">Substantial investments in health show up in calculations of the Australian government's investment in R&amp;D according to socioeconomic objectives. This is revealed in Figure 5. </w:t>
      </w:r>
    </w:p>
    <w:p w14:paraId="17C26C25" w14:textId="21A72947" w:rsidR="001B38AE" w:rsidRDefault="001B38AE" w:rsidP="001B38AE">
      <w:pPr>
        <w:pStyle w:val="Caption"/>
        <w:keepNext/>
        <w:spacing w:before="0" w:after="0"/>
      </w:pPr>
      <w:bookmarkStart w:id="19" w:name="_Ref159586093"/>
      <w:bookmarkStart w:id="20" w:name="_Toc160445133"/>
      <w:r>
        <w:lastRenderedPageBreak/>
        <w:t xml:space="preserve">Figure </w:t>
      </w:r>
      <w:r w:rsidR="00157FCC">
        <w:fldChar w:fldCharType="begin"/>
      </w:r>
      <w:r w:rsidR="00157FCC">
        <w:instrText xml:space="preserve"> SEQ Figure \* ARABIC </w:instrText>
      </w:r>
      <w:r w:rsidR="00157FCC">
        <w:fldChar w:fldCharType="separate"/>
      </w:r>
      <w:r w:rsidR="00875974">
        <w:rPr>
          <w:noProof/>
        </w:rPr>
        <w:t>5</w:t>
      </w:r>
      <w:r w:rsidR="00157FCC">
        <w:fldChar w:fldCharType="end"/>
      </w:r>
      <w:bookmarkEnd w:id="19"/>
      <w:r>
        <w:t>: Total Australian Government investment in R&amp;D by socioeconomic objective</w:t>
      </w:r>
      <w:bookmarkEnd w:id="20"/>
    </w:p>
    <w:p w14:paraId="18BB7740" w14:textId="77777777" w:rsidR="001B38AE" w:rsidRDefault="001B38AE" w:rsidP="001B38AE">
      <w:pPr>
        <w:pStyle w:val="Caption"/>
        <w:keepNext/>
        <w:spacing w:before="0" w:after="0"/>
      </w:pPr>
      <w:r>
        <w:t>1993-94 to 2023-24 ($m, inflation-adjusted)</w:t>
      </w:r>
    </w:p>
    <w:p w14:paraId="6ADA8161" w14:textId="77777777" w:rsidR="001B38AE" w:rsidRDefault="001B38AE" w:rsidP="001B38AE">
      <w:pPr>
        <w:spacing w:before="0" w:after="0"/>
        <w:jc w:val="center"/>
      </w:pPr>
      <w:r>
        <w:rPr>
          <w:noProof/>
          <w14:ligatures w14:val="standardContextual"/>
        </w:rPr>
        <w:drawing>
          <wp:inline distT="0" distB="0" distL="0" distR="0" wp14:anchorId="6DFCACA0" wp14:editId="11775849">
            <wp:extent cx="4752000" cy="2606400"/>
            <wp:effectExtent l="12700" t="12700" r="10795" b="10160"/>
            <wp:docPr id="1009141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41933" name=""/>
                    <pic:cNvPicPr/>
                  </pic:nvPicPr>
                  <pic:blipFill rotWithShape="1">
                    <a:blip r:embed="rId17"/>
                    <a:srcRect t="7163"/>
                    <a:stretch/>
                  </pic:blipFill>
                  <pic:spPr bwMode="auto">
                    <a:xfrm>
                      <a:off x="0" y="0"/>
                      <a:ext cx="4752000" cy="2606400"/>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BA249BE" w14:textId="77777777" w:rsidR="001B38AE" w:rsidRDefault="001B38AE" w:rsidP="001B38AE">
      <w:pPr>
        <w:spacing w:before="0" w:after="0"/>
        <w:ind w:firstLine="720"/>
        <w:rPr>
          <w:sz w:val="15"/>
          <w:szCs w:val="15"/>
        </w:rPr>
      </w:pPr>
      <w:r w:rsidRPr="002753C8">
        <w:rPr>
          <w:sz w:val="15"/>
          <w:szCs w:val="15"/>
        </w:rPr>
        <w:t>Source: SRI Tables. Smaller SEOs are not included in the Chart</w:t>
      </w:r>
      <w:r>
        <w:rPr>
          <w:sz w:val="15"/>
          <w:szCs w:val="15"/>
        </w:rPr>
        <w:t>.</w:t>
      </w:r>
    </w:p>
    <w:p w14:paraId="7BF3E040" w14:textId="696BC069" w:rsidR="001B38AE" w:rsidRPr="00CC51B5" w:rsidRDefault="001B38AE" w:rsidP="001B38AE">
      <w:r>
        <w:fldChar w:fldCharType="begin"/>
      </w:r>
      <w:r>
        <w:instrText xml:space="preserve"> REF _Ref159586093 \h </w:instrText>
      </w:r>
      <w:r>
        <w:fldChar w:fldCharType="separate"/>
      </w:r>
      <w:r w:rsidR="00875974">
        <w:t xml:space="preserve">Figure </w:t>
      </w:r>
      <w:r w:rsidR="00875974">
        <w:rPr>
          <w:noProof/>
        </w:rPr>
        <w:t>5</w:t>
      </w:r>
      <w:r>
        <w:fldChar w:fldCharType="end"/>
      </w:r>
      <w:r>
        <w:t xml:space="preserve"> shows the extent to which Government investment in R&amp;D in 1993-94 was dominated by Industrial production and technology (red line) </w:t>
      </w:r>
      <w:r w:rsidRPr="00DE505E">
        <w:rPr>
          <w:i/>
          <w:iCs/>
        </w:rPr>
        <w:t>until 2011-12</w:t>
      </w:r>
      <w:r>
        <w:t xml:space="preserve"> and how investment in Health research (blue line) has increased since 2005-06.</w:t>
      </w:r>
      <w:r w:rsidR="00D85049">
        <w:t xml:space="preserve"> </w:t>
      </w:r>
      <w:r w:rsidRPr="00CC51B5">
        <w:t xml:space="preserve">By 2021-22, Health R&amp;D was equivalent to Industrial production and technology R&amp;D. </w:t>
      </w:r>
    </w:p>
    <w:p w14:paraId="55EEFC79" w14:textId="77777777" w:rsidR="001B38AE" w:rsidRDefault="001B38AE" w:rsidP="001B38AE">
      <w:r>
        <w:t xml:space="preserve">Investments in Political and social systems, </w:t>
      </w:r>
      <w:proofErr w:type="gramStart"/>
      <w:r>
        <w:t>structures</w:t>
      </w:r>
      <w:proofErr w:type="gramEnd"/>
      <w:r>
        <w:t xml:space="preserve"> and processes (purple line) peaked in 2015-16 and have fallen away rapidly since then. </w:t>
      </w:r>
    </w:p>
    <w:p w14:paraId="45456EB7" w14:textId="4C58864C" w:rsidR="001B38AE" w:rsidRDefault="001B38AE" w:rsidP="001B38AE">
      <w:pPr>
        <w:rPr>
          <w:rFonts w:eastAsia="Aptos"/>
        </w:rPr>
      </w:pPr>
      <w:r>
        <w:t>The ups and downs in General University funds, sourced principally from performance-driven block grants (the Research Support program and the Research Training program), are particularly significant in the SEO profile.</w:t>
      </w:r>
    </w:p>
    <w:p w14:paraId="259AD66E" w14:textId="247E4A27" w:rsidR="001B38AE" w:rsidRDefault="00954098" w:rsidP="001B38AE">
      <w:pPr>
        <w:pStyle w:val="Heading1"/>
      </w:pPr>
      <w:bookmarkStart w:id="21" w:name="_Ref160443171"/>
      <w:bookmarkStart w:id="22" w:name="_Toc160445121"/>
      <w:r>
        <w:t xml:space="preserve">The structural </w:t>
      </w:r>
      <w:r w:rsidR="001B38AE" w:rsidRPr="00832D9F">
        <w:t>allocation</w:t>
      </w:r>
      <w:r w:rsidR="001B38AE">
        <w:t xml:space="preserve"> of R&amp;D </w:t>
      </w:r>
      <w:r>
        <w:t>expenditure</w:t>
      </w:r>
      <w:bookmarkEnd w:id="21"/>
      <w:bookmarkEnd w:id="22"/>
      <w:r>
        <w:t xml:space="preserve"> </w:t>
      </w:r>
    </w:p>
    <w:p w14:paraId="353B380A" w14:textId="1656779A" w:rsidR="001B38AE" w:rsidRDefault="001B38AE" w:rsidP="001B38AE">
      <w:pPr>
        <w:rPr>
          <w:lang w:eastAsia="en-AU"/>
        </w:rPr>
      </w:pPr>
      <w:r>
        <w:rPr>
          <w:rFonts w:eastAsia="Aptos"/>
        </w:rPr>
        <w:t xml:space="preserve">Under the Australian Westminster-derived </w:t>
      </w:r>
      <w:r w:rsidR="009E12C6">
        <w:rPr>
          <w:rFonts w:eastAsia="Aptos"/>
        </w:rPr>
        <w:t>public administration system</w:t>
      </w:r>
      <w:r>
        <w:rPr>
          <w:rFonts w:eastAsia="Aptos"/>
        </w:rPr>
        <w:t xml:space="preserve"> and the principle of Ministerial responsibility, </w:t>
      </w:r>
      <w:r>
        <w:rPr>
          <w:lang w:eastAsia="en-AU"/>
        </w:rPr>
        <w:t>e</w:t>
      </w:r>
      <w:r w:rsidRPr="00960F89">
        <w:rPr>
          <w:lang w:eastAsia="en-AU"/>
        </w:rPr>
        <w:t>ach government minister is</w:t>
      </w:r>
      <w:r>
        <w:rPr>
          <w:lang w:eastAsia="en-AU"/>
        </w:rPr>
        <w:t xml:space="preserve"> </w:t>
      </w:r>
      <w:r w:rsidRPr="001B38AE">
        <w:rPr>
          <w:i/>
          <w:iCs/>
          <w:lang w:eastAsia="en-AU"/>
        </w:rPr>
        <w:t>responsible</w:t>
      </w:r>
      <w:r w:rsidRPr="00960F89">
        <w:rPr>
          <w:lang w:eastAsia="en-AU"/>
        </w:rPr>
        <w:t xml:space="preserve"> for a </w:t>
      </w:r>
      <w:r w:rsidRPr="00960F89">
        <w:rPr>
          <w:i/>
          <w:iCs/>
          <w:lang w:eastAsia="en-AU"/>
        </w:rPr>
        <w:t>specific portfolio</w:t>
      </w:r>
      <w:r>
        <w:rPr>
          <w:i/>
          <w:iCs/>
          <w:lang w:eastAsia="en-AU"/>
        </w:rPr>
        <w:t xml:space="preserve"> and is</w:t>
      </w:r>
      <w:r w:rsidRPr="00960F89">
        <w:rPr>
          <w:lang w:eastAsia="en-AU"/>
        </w:rPr>
        <w:t xml:space="preserve"> accountable to the Parliament for the</w:t>
      </w:r>
      <w:r>
        <w:rPr>
          <w:lang w:eastAsia="en-AU"/>
        </w:rPr>
        <w:t>ir department's performance</w:t>
      </w:r>
      <w:r w:rsidRPr="00960F89">
        <w:rPr>
          <w:lang w:eastAsia="en-AU"/>
        </w:rPr>
        <w:t>.</w:t>
      </w:r>
      <w:r>
        <w:rPr>
          <w:lang w:eastAsia="en-AU"/>
        </w:rPr>
        <w:t xml:space="preserve"> </w:t>
      </w:r>
    </w:p>
    <w:p w14:paraId="3F6746C0" w14:textId="622761A9" w:rsidR="001B38AE" w:rsidRDefault="001B38AE" w:rsidP="001B38AE">
      <w:pPr>
        <w:rPr>
          <w:rFonts w:eastAsia="Aptos"/>
          <w:szCs w:val="22"/>
        </w:rPr>
      </w:pPr>
      <w:r>
        <w:rPr>
          <w:lang w:eastAsia="en-AU"/>
        </w:rPr>
        <w:t>Constitutionally, t</w:t>
      </w:r>
      <w:r w:rsidRPr="00960F89">
        <w:rPr>
          <w:lang w:eastAsia="en-AU"/>
        </w:rPr>
        <w:t xml:space="preserve">his principle </w:t>
      </w:r>
      <w:r>
        <w:rPr>
          <w:lang w:eastAsia="en-AU"/>
        </w:rPr>
        <w:t xml:space="preserve">means </w:t>
      </w:r>
      <w:r w:rsidRPr="00960F89">
        <w:rPr>
          <w:lang w:eastAsia="en-AU"/>
        </w:rPr>
        <w:t xml:space="preserve">that </w:t>
      </w:r>
      <w:r>
        <w:rPr>
          <w:lang w:eastAsia="en-AU"/>
        </w:rPr>
        <w:t xml:space="preserve">Ministers </w:t>
      </w:r>
      <w:r w:rsidRPr="00960F89">
        <w:rPr>
          <w:lang w:eastAsia="en-AU"/>
        </w:rPr>
        <w:t xml:space="preserve">are </w:t>
      </w:r>
      <w:r>
        <w:rPr>
          <w:lang w:eastAsia="en-AU"/>
        </w:rPr>
        <w:t xml:space="preserve">individually </w:t>
      </w:r>
      <w:r w:rsidRPr="00960F89">
        <w:rPr>
          <w:lang w:eastAsia="en-AU"/>
        </w:rPr>
        <w:t xml:space="preserve">answerable for the </w:t>
      </w:r>
      <w:r>
        <w:rPr>
          <w:lang w:eastAsia="en-AU"/>
        </w:rPr>
        <w:t>expenditure programs</w:t>
      </w:r>
      <w:r w:rsidRPr="00960F89">
        <w:rPr>
          <w:lang w:eastAsia="en-AU"/>
        </w:rPr>
        <w:t xml:space="preserve"> and actions within their </w:t>
      </w:r>
      <w:r>
        <w:rPr>
          <w:lang w:eastAsia="en-AU"/>
        </w:rPr>
        <w:t xml:space="preserve">portfolio. </w:t>
      </w:r>
      <w:r>
        <w:rPr>
          <w:rFonts w:eastAsia="Aptos"/>
          <w:szCs w:val="22"/>
        </w:rPr>
        <w:t xml:space="preserve">Each expenditure program carries its own set of policy objectives, legislative authorities, eligibility criteria, administrative and organisational structures, funding arrangements and time frame. </w:t>
      </w:r>
    </w:p>
    <w:p w14:paraId="332B9CF3" w14:textId="0E36FF0D" w:rsidR="001B38AE" w:rsidRDefault="001B38AE" w:rsidP="001B38AE">
      <w:pPr>
        <w:rPr>
          <w:rFonts w:eastAsia="Aptos"/>
          <w:szCs w:val="22"/>
        </w:rPr>
      </w:pPr>
      <w:r>
        <w:rPr>
          <w:rFonts w:eastAsia="Aptos"/>
          <w:szCs w:val="22"/>
        </w:rPr>
        <w:t xml:space="preserve">In aggregate, the programs reflect a </w:t>
      </w:r>
      <w:r w:rsidRPr="00CB2721">
        <w:rPr>
          <w:rFonts w:eastAsia="Aptos"/>
          <w:i/>
          <w:iCs/>
          <w:szCs w:val="22"/>
        </w:rPr>
        <w:t>de</w:t>
      </w:r>
      <w:r>
        <w:rPr>
          <w:rFonts w:eastAsia="Aptos"/>
          <w:i/>
          <w:iCs/>
          <w:szCs w:val="22"/>
        </w:rPr>
        <w:t xml:space="preserve"> </w:t>
      </w:r>
      <w:r w:rsidRPr="00CB2721">
        <w:rPr>
          <w:rFonts w:eastAsia="Aptos"/>
          <w:i/>
          <w:iCs/>
          <w:szCs w:val="22"/>
        </w:rPr>
        <w:t>facto</w:t>
      </w:r>
      <w:r>
        <w:rPr>
          <w:rFonts w:eastAsia="Aptos"/>
          <w:szCs w:val="22"/>
        </w:rPr>
        <w:t xml:space="preserve"> implementation of a science, research, and innovation policy without an overarching strategy. These programs are loosely connected to the Government’s nine </w:t>
      </w:r>
      <w:hyperlink r:id="rId18" w:history="1">
        <w:r w:rsidRPr="00DE5182">
          <w:rPr>
            <w:rStyle w:val="Hyperlink"/>
            <w:rFonts w:eastAsia="Aptos"/>
            <w:szCs w:val="22"/>
          </w:rPr>
          <w:t>Science and Research priorities</w:t>
        </w:r>
      </w:hyperlink>
      <w:r>
        <w:rPr>
          <w:rFonts w:eastAsia="Aptos"/>
          <w:szCs w:val="22"/>
        </w:rPr>
        <w:t xml:space="preserve">. </w:t>
      </w:r>
    </w:p>
    <w:p w14:paraId="7E938F2A" w14:textId="1D8225FD" w:rsidR="001B38AE" w:rsidRDefault="001B38AE" w:rsidP="001B38AE">
      <w:pPr>
        <w:rPr>
          <w:rFonts w:eastAsia="Aptos"/>
          <w:szCs w:val="22"/>
        </w:rPr>
      </w:pPr>
      <w:r>
        <w:rPr>
          <w:rFonts w:eastAsia="Aptos"/>
          <w:szCs w:val="22"/>
        </w:rPr>
        <w:t xml:space="preserve">Ministers may have a </w:t>
      </w:r>
      <w:r w:rsidRPr="001B38AE">
        <w:rPr>
          <w:rFonts w:eastAsia="Aptos"/>
          <w:i/>
          <w:iCs/>
          <w:szCs w:val="22"/>
        </w:rPr>
        <w:t>collective responsibility</w:t>
      </w:r>
      <w:r>
        <w:rPr>
          <w:rFonts w:eastAsia="Aptos"/>
          <w:szCs w:val="22"/>
        </w:rPr>
        <w:t xml:space="preserve"> when the Cabinet adopts and implements </w:t>
      </w:r>
      <w:r w:rsidRPr="001B38AE">
        <w:rPr>
          <w:rFonts w:eastAsia="Aptos"/>
          <w:i/>
          <w:iCs/>
          <w:szCs w:val="22"/>
        </w:rPr>
        <w:t>cross-portfolio</w:t>
      </w:r>
      <w:r>
        <w:rPr>
          <w:rFonts w:eastAsia="Aptos"/>
          <w:szCs w:val="22"/>
        </w:rPr>
        <w:t xml:space="preserve"> or government-wide strategies. </w:t>
      </w:r>
    </w:p>
    <w:p w14:paraId="055A00E6" w14:textId="77777777" w:rsidR="001B38AE" w:rsidRDefault="001B38AE" w:rsidP="001B38AE">
      <w:pPr>
        <w:pStyle w:val="Heading2"/>
        <w:rPr>
          <w:rFonts w:eastAsia="Aptos"/>
        </w:rPr>
      </w:pPr>
      <w:bookmarkStart w:id="23" w:name="_Toc160445122"/>
      <w:r>
        <w:rPr>
          <w:rFonts w:eastAsia="Aptos"/>
        </w:rPr>
        <w:t>Investment among portfolios</w:t>
      </w:r>
      <w:bookmarkEnd w:id="23"/>
    </w:p>
    <w:p w14:paraId="68E131B2" w14:textId="6E88C61D" w:rsidR="001B38AE" w:rsidRDefault="001B38AE" w:rsidP="001B38AE">
      <w:pPr>
        <w:rPr>
          <w:rFonts w:eastAsia="Aptos"/>
          <w:szCs w:val="22"/>
        </w:rPr>
      </w:pPr>
      <w:r w:rsidRPr="009E4E1F">
        <w:rPr>
          <w:rFonts w:eastAsia="Aptos"/>
          <w:i/>
          <w:iCs/>
          <w:szCs w:val="22"/>
        </w:rPr>
        <w:t>The SRI Budget Tables</w:t>
      </w:r>
      <w:r>
        <w:rPr>
          <w:rFonts w:eastAsia="Aptos"/>
          <w:szCs w:val="22"/>
        </w:rPr>
        <w:t xml:space="preserve"> show that in 2023-24, the Government’s $12.6 billion investment in R&amp;D programs is distributed across 14 government portfolios. However, most investment is made within six portfolios: Industry Science and Resources, Education, Health and Aged Care, Climate Change, Energy, the Environment and Water, Defence, and Agriculture.</w:t>
      </w:r>
      <w:r w:rsidR="00D85049">
        <w:rPr>
          <w:rFonts w:eastAsia="Aptos"/>
          <w:szCs w:val="22"/>
        </w:rPr>
        <w:t xml:space="preserve"> </w:t>
      </w:r>
      <w:r>
        <w:rPr>
          <w:rFonts w:eastAsia="Aptos"/>
          <w:szCs w:val="22"/>
        </w:rPr>
        <w:t xml:space="preserve">Proportions for </w:t>
      </w:r>
      <w:r>
        <w:rPr>
          <w:rFonts w:eastAsia="Aptos"/>
          <w:szCs w:val="22"/>
        </w:rPr>
        <w:lastRenderedPageBreak/>
        <w:t>each portfolio, together with gains and losses in the 2023-24</w:t>
      </w:r>
      <w:r w:rsidR="00D85049">
        <w:rPr>
          <w:rFonts w:eastAsia="Aptos"/>
          <w:szCs w:val="22"/>
        </w:rPr>
        <w:t xml:space="preserve"> </w:t>
      </w:r>
      <w:r>
        <w:rPr>
          <w:rFonts w:eastAsia="Aptos"/>
          <w:szCs w:val="22"/>
        </w:rPr>
        <w:t xml:space="preserve">Budget, are documented in </w:t>
      </w:r>
      <w:r>
        <w:rPr>
          <w:rFonts w:eastAsia="Aptos"/>
          <w:szCs w:val="22"/>
        </w:rPr>
        <w:fldChar w:fldCharType="begin"/>
      </w:r>
      <w:r>
        <w:rPr>
          <w:rFonts w:eastAsia="Aptos"/>
          <w:szCs w:val="22"/>
        </w:rPr>
        <w:instrText xml:space="preserve"> REF _Ref159380804 \h </w:instrText>
      </w:r>
      <w:r>
        <w:rPr>
          <w:rFonts w:eastAsia="Aptos"/>
          <w:szCs w:val="22"/>
        </w:rPr>
      </w:r>
      <w:r>
        <w:rPr>
          <w:rFonts w:eastAsia="Aptos"/>
          <w:szCs w:val="22"/>
        </w:rPr>
        <w:fldChar w:fldCharType="separate"/>
      </w:r>
      <w:r w:rsidR="00875974">
        <w:t xml:space="preserve">Table </w:t>
      </w:r>
      <w:r w:rsidR="00875974">
        <w:rPr>
          <w:noProof/>
        </w:rPr>
        <w:t>1</w:t>
      </w:r>
      <w:r>
        <w:rPr>
          <w:rFonts w:eastAsia="Aptos"/>
          <w:szCs w:val="22"/>
        </w:rPr>
        <w:fldChar w:fldCharType="end"/>
      </w:r>
      <w:r>
        <w:rPr>
          <w:rFonts w:eastAsia="Aptos"/>
          <w:szCs w:val="22"/>
        </w:rPr>
        <w:t>.</w:t>
      </w:r>
    </w:p>
    <w:p w14:paraId="223C7812" w14:textId="45FB541F" w:rsidR="001B38AE" w:rsidRDefault="001B38AE" w:rsidP="001B38AE">
      <w:pPr>
        <w:pStyle w:val="Caption"/>
        <w:keepNext/>
        <w:spacing w:before="0" w:after="0"/>
      </w:pPr>
      <w:bookmarkStart w:id="24" w:name="_Ref159380804"/>
      <w:r>
        <w:t xml:space="preserve">Table </w:t>
      </w:r>
      <w:r w:rsidR="00000000">
        <w:fldChar w:fldCharType="begin"/>
      </w:r>
      <w:r w:rsidR="00000000">
        <w:instrText xml:space="preserve"> SEQ Table \* ARABIC </w:instrText>
      </w:r>
      <w:r w:rsidR="00000000">
        <w:fldChar w:fldCharType="separate"/>
      </w:r>
      <w:r w:rsidR="00875974">
        <w:rPr>
          <w:noProof/>
        </w:rPr>
        <w:t>1</w:t>
      </w:r>
      <w:r w:rsidR="00000000">
        <w:rPr>
          <w:noProof/>
        </w:rPr>
        <w:fldChar w:fldCharType="end"/>
      </w:r>
      <w:bookmarkEnd w:id="24"/>
      <w:r>
        <w:t xml:space="preserve">: </w:t>
      </w:r>
      <w:r w:rsidRPr="005B2CCD">
        <w:t xml:space="preserve">Australian Government investment in R&amp;D by </w:t>
      </w:r>
      <w:r>
        <w:t xml:space="preserve">government </w:t>
      </w:r>
      <w:r w:rsidRPr="005B2CCD">
        <w:t>portfolio</w:t>
      </w:r>
    </w:p>
    <w:tbl>
      <w:tblPr>
        <w:tblStyle w:val="PlainTable2"/>
        <w:tblW w:w="0" w:type="auto"/>
        <w:tblLook w:val="0620" w:firstRow="1" w:lastRow="0" w:firstColumn="0" w:lastColumn="0" w:noHBand="1" w:noVBand="1"/>
      </w:tblPr>
      <w:tblGrid>
        <w:gridCol w:w="4385"/>
        <w:gridCol w:w="1156"/>
        <w:gridCol w:w="1157"/>
        <w:gridCol w:w="1156"/>
        <w:gridCol w:w="1157"/>
      </w:tblGrid>
      <w:tr w:rsidR="001B38AE" w:rsidRPr="005E6503" w14:paraId="745F2DE4" w14:textId="77777777" w:rsidTr="006A5251">
        <w:trPr>
          <w:cnfStyle w:val="100000000000" w:firstRow="1" w:lastRow="0" w:firstColumn="0" w:lastColumn="0" w:oddVBand="0" w:evenVBand="0" w:oddHBand="0" w:evenHBand="0" w:firstRowFirstColumn="0" w:firstRowLastColumn="0" w:lastRowFirstColumn="0" w:lastRowLastColumn="0"/>
        </w:trPr>
        <w:tc>
          <w:tcPr>
            <w:tcW w:w="4385" w:type="dxa"/>
          </w:tcPr>
          <w:p w14:paraId="04D70E6E" w14:textId="77777777" w:rsidR="001B38AE" w:rsidRPr="005E6503" w:rsidRDefault="001B38AE" w:rsidP="00432008">
            <w:pPr>
              <w:autoSpaceDE w:val="0"/>
              <w:autoSpaceDN w:val="0"/>
              <w:adjustRightInd w:val="0"/>
              <w:spacing w:before="0" w:after="0"/>
              <w:rPr>
                <w:rFonts w:eastAsiaTheme="minorHAnsi" w:cs="Arial"/>
                <w:b w:val="0"/>
                <w:bCs w:val="0"/>
                <w:i/>
                <w:iCs/>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Portfolio</w:t>
            </w:r>
          </w:p>
        </w:tc>
        <w:tc>
          <w:tcPr>
            <w:tcW w:w="1156" w:type="dxa"/>
          </w:tcPr>
          <w:p w14:paraId="495134CD" w14:textId="77777777" w:rsidR="001B38AE" w:rsidRPr="005E6503" w:rsidRDefault="001B38AE" w:rsidP="00432008">
            <w:pPr>
              <w:autoSpaceDE w:val="0"/>
              <w:autoSpaceDN w:val="0"/>
              <w:adjustRightInd w:val="0"/>
              <w:spacing w:before="0" w:after="0"/>
              <w:jc w:val="center"/>
              <w:rPr>
                <w:rFonts w:eastAsiaTheme="minorHAnsi" w:cs="Arial"/>
                <w:b w:val="0"/>
                <w:bCs w:val="0"/>
                <w:i/>
                <w:iCs/>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Estimated Actual</w:t>
            </w:r>
          </w:p>
          <w:p w14:paraId="4B638812" w14:textId="77777777" w:rsidR="001B38AE" w:rsidRPr="005E6503" w:rsidRDefault="001B38AE" w:rsidP="00432008">
            <w:pPr>
              <w:autoSpaceDE w:val="0"/>
              <w:autoSpaceDN w:val="0"/>
              <w:adjustRightInd w:val="0"/>
              <w:spacing w:before="0" w:after="0"/>
              <w:jc w:val="center"/>
              <w:rPr>
                <w:rFonts w:eastAsiaTheme="minorHAnsi" w:cs="Arial"/>
                <w:b w:val="0"/>
                <w:bCs w:val="0"/>
                <w:i/>
                <w:iCs/>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2022-23 ($m)</w:t>
            </w:r>
          </w:p>
        </w:tc>
        <w:tc>
          <w:tcPr>
            <w:tcW w:w="1157" w:type="dxa"/>
          </w:tcPr>
          <w:p w14:paraId="4467EE16" w14:textId="77777777" w:rsidR="001B38AE" w:rsidRPr="005E6503" w:rsidRDefault="001B38AE" w:rsidP="00432008">
            <w:pPr>
              <w:autoSpaceDE w:val="0"/>
              <w:autoSpaceDN w:val="0"/>
              <w:adjustRightInd w:val="0"/>
              <w:spacing w:before="0" w:after="0"/>
              <w:jc w:val="center"/>
              <w:rPr>
                <w:rFonts w:eastAsiaTheme="minorHAnsi" w:cs="Arial"/>
                <w:b w:val="0"/>
                <w:bCs w:val="0"/>
                <w:i/>
                <w:iCs/>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Budget Estimate</w:t>
            </w:r>
          </w:p>
          <w:p w14:paraId="622589C6" w14:textId="77777777" w:rsidR="001B38AE" w:rsidRPr="005E6503" w:rsidRDefault="001B38AE" w:rsidP="00432008">
            <w:pPr>
              <w:autoSpaceDE w:val="0"/>
              <w:autoSpaceDN w:val="0"/>
              <w:adjustRightInd w:val="0"/>
              <w:spacing w:before="0" w:after="0"/>
              <w:jc w:val="center"/>
              <w:rPr>
                <w:rFonts w:eastAsiaTheme="minorHAnsi" w:cs="Arial"/>
                <w:b w:val="0"/>
                <w:bCs w:val="0"/>
                <w:i/>
                <w:iCs/>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2023-24 ($m)</w:t>
            </w:r>
          </w:p>
        </w:tc>
        <w:tc>
          <w:tcPr>
            <w:tcW w:w="1156" w:type="dxa"/>
          </w:tcPr>
          <w:p w14:paraId="55234B38" w14:textId="77777777" w:rsidR="001B38AE" w:rsidRPr="005E6503" w:rsidRDefault="001B38AE" w:rsidP="00432008">
            <w:pPr>
              <w:autoSpaceDE w:val="0"/>
              <w:autoSpaceDN w:val="0"/>
              <w:adjustRightInd w:val="0"/>
              <w:spacing w:before="0" w:after="0"/>
              <w:jc w:val="center"/>
              <w:rPr>
                <w:rFonts w:eastAsiaTheme="minorHAnsi" w:cs="Arial"/>
                <w:b w:val="0"/>
                <w:bCs w:val="0"/>
                <w:i/>
                <w:iCs/>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Increase (%)</w:t>
            </w:r>
          </w:p>
        </w:tc>
        <w:tc>
          <w:tcPr>
            <w:tcW w:w="1157" w:type="dxa"/>
          </w:tcPr>
          <w:p w14:paraId="46097876" w14:textId="77777777" w:rsidR="001B38AE" w:rsidRPr="005E6503" w:rsidRDefault="001B38AE" w:rsidP="00432008">
            <w:pPr>
              <w:autoSpaceDE w:val="0"/>
              <w:autoSpaceDN w:val="0"/>
              <w:adjustRightInd w:val="0"/>
              <w:spacing w:before="0" w:after="0"/>
              <w:jc w:val="center"/>
              <w:rPr>
                <w:rFonts w:eastAsiaTheme="minorHAnsi" w:cs="Arial"/>
                <w:b w:val="0"/>
                <w:bCs w:val="0"/>
                <w:i/>
                <w:iCs/>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Percent of Total</w:t>
            </w:r>
          </w:p>
        </w:tc>
      </w:tr>
      <w:tr w:rsidR="001B38AE" w:rsidRPr="005E6503" w14:paraId="77B01046" w14:textId="77777777" w:rsidTr="006A5251">
        <w:tc>
          <w:tcPr>
            <w:tcW w:w="4385" w:type="dxa"/>
          </w:tcPr>
          <w:p w14:paraId="02707AAB"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Agriculture, Fisheries and Forestry</w:t>
            </w:r>
          </w:p>
        </w:tc>
        <w:tc>
          <w:tcPr>
            <w:tcW w:w="1156" w:type="dxa"/>
          </w:tcPr>
          <w:p w14:paraId="301EA8E5"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532.79</w:t>
            </w:r>
          </w:p>
        </w:tc>
        <w:tc>
          <w:tcPr>
            <w:tcW w:w="1157" w:type="dxa"/>
          </w:tcPr>
          <w:p w14:paraId="23422A91"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469.73</w:t>
            </w:r>
          </w:p>
        </w:tc>
        <w:tc>
          <w:tcPr>
            <w:tcW w:w="1156" w:type="dxa"/>
          </w:tcPr>
          <w:p w14:paraId="3C67D132" w14:textId="77777777" w:rsidR="001B38AE" w:rsidRPr="005E6503" w:rsidRDefault="001B38AE" w:rsidP="00432008">
            <w:pPr>
              <w:autoSpaceDE w:val="0"/>
              <w:autoSpaceDN w:val="0"/>
              <w:adjustRightInd w:val="0"/>
              <w:spacing w:before="0" w:after="0"/>
              <w:jc w:val="right"/>
              <w:rPr>
                <w:rFonts w:eastAsiaTheme="minorHAnsi" w:cs="Arial"/>
                <w:color w:val="FF0000"/>
                <w:sz w:val="16"/>
                <w:szCs w:val="16"/>
                <w:lang w:val="en-GB" w:eastAsia="en-US"/>
                <w14:ligatures w14:val="standardContextual"/>
              </w:rPr>
            </w:pPr>
            <w:r w:rsidRPr="005E6503">
              <w:rPr>
                <w:rFonts w:eastAsiaTheme="minorHAnsi" w:cs="Arial"/>
                <w:color w:val="FF0000"/>
                <w:sz w:val="16"/>
                <w:szCs w:val="16"/>
                <w:lang w:val="en-GB" w:eastAsia="en-US"/>
                <w14:ligatures w14:val="standardContextual"/>
              </w:rPr>
              <w:t>-0.1%</w:t>
            </w:r>
          </w:p>
        </w:tc>
        <w:tc>
          <w:tcPr>
            <w:tcW w:w="1157" w:type="dxa"/>
          </w:tcPr>
          <w:p w14:paraId="75D140CE"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3.7%</w:t>
            </w:r>
          </w:p>
        </w:tc>
      </w:tr>
      <w:tr w:rsidR="001B38AE" w:rsidRPr="005E6503" w14:paraId="6DE5AEF9" w14:textId="77777777" w:rsidTr="006A5251">
        <w:tc>
          <w:tcPr>
            <w:tcW w:w="4385" w:type="dxa"/>
          </w:tcPr>
          <w:p w14:paraId="386D4DEF"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Attorney-General's</w:t>
            </w:r>
          </w:p>
        </w:tc>
        <w:tc>
          <w:tcPr>
            <w:tcW w:w="1156" w:type="dxa"/>
          </w:tcPr>
          <w:p w14:paraId="54539115"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5.24</w:t>
            </w:r>
          </w:p>
        </w:tc>
        <w:tc>
          <w:tcPr>
            <w:tcW w:w="1157" w:type="dxa"/>
          </w:tcPr>
          <w:p w14:paraId="24F1A281"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4.54</w:t>
            </w:r>
          </w:p>
        </w:tc>
        <w:tc>
          <w:tcPr>
            <w:tcW w:w="1156" w:type="dxa"/>
          </w:tcPr>
          <w:p w14:paraId="64F3FA77" w14:textId="77777777" w:rsidR="001B38AE" w:rsidRPr="005E6503" w:rsidRDefault="001B38AE" w:rsidP="00432008">
            <w:pPr>
              <w:autoSpaceDE w:val="0"/>
              <w:autoSpaceDN w:val="0"/>
              <w:adjustRightInd w:val="0"/>
              <w:spacing w:before="0" w:after="0"/>
              <w:jc w:val="right"/>
              <w:rPr>
                <w:rFonts w:eastAsiaTheme="minorHAnsi" w:cs="Arial"/>
                <w:color w:val="FF0000"/>
                <w:sz w:val="16"/>
                <w:szCs w:val="16"/>
                <w:lang w:val="en-GB" w:eastAsia="en-US"/>
                <w14:ligatures w14:val="standardContextual"/>
              </w:rPr>
            </w:pPr>
            <w:r w:rsidRPr="005E6503">
              <w:rPr>
                <w:rFonts w:eastAsiaTheme="minorHAnsi" w:cs="Arial"/>
                <w:color w:val="FF0000"/>
                <w:sz w:val="16"/>
                <w:szCs w:val="16"/>
                <w:lang w:val="en-GB" w:eastAsia="en-US"/>
                <w14:ligatures w14:val="standardContextual"/>
              </w:rPr>
              <w:t>-13.3%</w:t>
            </w:r>
          </w:p>
        </w:tc>
        <w:tc>
          <w:tcPr>
            <w:tcW w:w="1157" w:type="dxa"/>
          </w:tcPr>
          <w:p w14:paraId="7EDC8BA2"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0.0%</w:t>
            </w:r>
          </w:p>
        </w:tc>
      </w:tr>
      <w:tr w:rsidR="001B38AE" w:rsidRPr="005E6503" w14:paraId="5F84AA50" w14:textId="77777777" w:rsidTr="006A5251">
        <w:tc>
          <w:tcPr>
            <w:tcW w:w="4385" w:type="dxa"/>
          </w:tcPr>
          <w:p w14:paraId="1F7680AB"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Climate Change, Energy, the Environment and Water</w:t>
            </w:r>
          </w:p>
        </w:tc>
        <w:tc>
          <w:tcPr>
            <w:tcW w:w="1156" w:type="dxa"/>
          </w:tcPr>
          <w:p w14:paraId="2032DD7D"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679.91</w:t>
            </w:r>
          </w:p>
        </w:tc>
        <w:tc>
          <w:tcPr>
            <w:tcW w:w="1157" w:type="dxa"/>
          </w:tcPr>
          <w:p w14:paraId="5A67D52E"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673.14</w:t>
            </w:r>
          </w:p>
        </w:tc>
        <w:tc>
          <w:tcPr>
            <w:tcW w:w="1156" w:type="dxa"/>
          </w:tcPr>
          <w:p w14:paraId="5C6A3E92" w14:textId="77777777" w:rsidR="001B38AE" w:rsidRPr="005E6503" w:rsidRDefault="001B38AE" w:rsidP="00432008">
            <w:pPr>
              <w:autoSpaceDE w:val="0"/>
              <w:autoSpaceDN w:val="0"/>
              <w:adjustRightInd w:val="0"/>
              <w:spacing w:before="0" w:after="0"/>
              <w:jc w:val="right"/>
              <w:rPr>
                <w:rFonts w:eastAsiaTheme="minorHAnsi" w:cs="Arial"/>
                <w:color w:val="FF0000"/>
                <w:sz w:val="16"/>
                <w:szCs w:val="16"/>
                <w:lang w:val="en-GB" w:eastAsia="en-US"/>
                <w14:ligatures w14:val="standardContextual"/>
              </w:rPr>
            </w:pPr>
            <w:r w:rsidRPr="005E6503">
              <w:rPr>
                <w:rFonts w:eastAsiaTheme="minorHAnsi" w:cs="Arial"/>
                <w:color w:val="FF0000"/>
                <w:sz w:val="16"/>
                <w:szCs w:val="16"/>
                <w:lang w:val="en-GB" w:eastAsia="en-US"/>
                <w14:ligatures w14:val="standardContextual"/>
              </w:rPr>
              <w:t>-1.0%</w:t>
            </w:r>
          </w:p>
        </w:tc>
        <w:tc>
          <w:tcPr>
            <w:tcW w:w="1157" w:type="dxa"/>
          </w:tcPr>
          <w:p w14:paraId="72EF405A"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5.3%</w:t>
            </w:r>
          </w:p>
        </w:tc>
      </w:tr>
      <w:tr w:rsidR="001B38AE" w:rsidRPr="005E6503" w14:paraId="45ED819B" w14:textId="77777777" w:rsidTr="006A5251">
        <w:tc>
          <w:tcPr>
            <w:tcW w:w="4385" w:type="dxa"/>
          </w:tcPr>
          <w:p w14:paraId="7F86B55F"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Defence</w:t>
            </w:r>
          </w:p>
        </w:tc>
        <w:tc>
          <w:tcPr>
            <w:tcW w:w="1156" w:type="dxa"/>
          </w:tcPr>
          <w:p w14:paraId="6DE8F672"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632.23</w:t>
            </w:r>
          </w:p>
        </w:tc>
        <w:tc>
          <w:tcPr>
            <w:tcW w:w="1157" w:type="dxa"/>
          </w:tcPr>
          <w:p w14:paraId="1D4353D9"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561.10</w:t>
            </w:r>
          </w:p>
        </w:tc>
        <w:tc>
          <w:tcPr>
            <w:tcW w:w="1156" w:type="dxa"/>
          </w:tcPr>
          <w:p w14:paraId="3AF47CFB" w14:textId="77777777" w:rsidR="001B38AE" w:rsidRPr="005E6503" w:rsidRDefault="001B38AE" w:rsidP="00432008">
            <w:pPr>
              <w:autoSpaceDE w:val="0"/>
              <w:autoSpaceDN w:val="0"/>
              <w:adjustRightInd w:val="0"/>
              <w:spacing w:before="0" w:after="0"/>
              <w:jc w:val="right"/>
              <w:rPr>
                <w:rFonts w:eastAsiaTheme="minorHAnsi" w:cs="Arial"/>
                <w:color w:val="FF0000"/>
                <w:sz w:val="16"/>
                <w:szCs w:val="16"/>
                <w:lang w:val="en-GB" w:eastAsia="en-US"/>
                <w14:ligatures w14:val="standardContextual"/>
              </w:rPr>
            </w:pPr>
            <w:r w:rsidRPr="005E6503">
              <w:rPr>
                <w:rFonts w:eastAsiaTheme="minorHAnsi" w:cs="Arial"/>
                <w:color w:val="FF0000"/>
                <w:sz w:val="16"/>
                <w:szCs w:val="16"/>
                <w:lang w:val="en-GB" w:eastAsia="en-US"/>
                <w14:ligatures w14:val="standardContextual"/>
              </w:rPr>
              <w:t>-11.3%</w:t>
            </w:r>
          </w:p>
        </w:tc>
        <w:tc>
          <w:tcPr>
            <w:tcW w:w="1157" w:type="dxa"/>
          </w:tcPr>
          <w:p w14:paraId="506B7828"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4.4%</w:t>
            </w:r>
          </w:p>
        </w:tc>
      </w:tr>
      <w:tr w:rsidR="001B38AE" w:rsidRPr="005E6503" w14:paraId="154FD50D" w14:textId="77777777" w:rsidTr="006A5251">
        <w:tc>
          <w:tcPr>
            <w:tcW w:w="4385" w:type="dxa"/>
          </w:tcPr>
          <w:p w14:paraId="4391E070"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Education</w:t>
            </w:r>
          </w:p>
        </w:tc>
        <w:tc>
          <w:tcPr>
            <w:tcW w:w="1156" w:type="dxa"/>
          </w:tcPr>
          <w:p w14:paraId="4E5C0D51"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3,503.98</w:t>
            </w:r>
          </w:p>
        </w:tc>
        <w:tc>
          <w:tcPr>
            <w:tcW w:w="1157" w:type="dxa"/>
          </w:tcPr>
          <w:p w14:paraId="3C77B418"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3,902.60</w:t>
            </w:r>
          </w:p>
        </w:tc>
        <w:tc>
          <w:tcPr>
            <w:tcW w:w="1156" w:type="dxa"/>
          </w:tcPr>
          <w:p w14:paraId="5744C420"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11.4%</w:t>
            </w:r>
          </w:p>
        </w:tc>
        <w:tc>
          <w:tcPr>
            <w:tcW w:w="1157" w:type="dxa"/>
          </w:tcPr>
          <w:p w14:paraId="0424DD70"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30.9%</w:t>
            </w:r>
          </w:p>
        </w:tc>
      </w:tr>
      <w:tr w:rsidR="001B38AE" w:rsidRPr="005E6503" w14:paraId="64D08A17" w14:textId="77777777" w:rsidTr="006A5251">
        <w:tc>
          <w:tcPr>
            <w:tcW w:w="4385" w:type="dxa"/>
          </w:tcPr>
          <w:p w14:paraId="32AD1284"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Foreign Affairs and Trade</w:t>
            </w:r>
          </w:p>
        </w:tc>
        <w:tc>
          <w:tcPr>
            <w:tcW w:w="1156" w:type="dxa"/>
          </w:tcPr>
          <w:p w14:paraId="34AC0DAC"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103.87</w:t>
            </w:r>
          </w:p>
        </w:tc>
        <w:tc>
          <w:tcPr>
            <w:tcW w:w="1157" w:type="dxa"/>
          </w:tcPr>
          <w:p w14:paraId="47955068"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116.26</w:t>
            </w:r>
          </w:p>
        </w:tc>
        <w:tc>
          <w:tcPr>
            <w:tcW w:w="1156" w:type="dxa"/>
          </w:tcPr>
          <w:p w14:paraId="463A8637"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11.9%</w:t>
            </w:r>
          </w:p>
        </w:tc>
        <w:tc>
          <w:tcPr>
            <w:tcW w:w="1157" w:type="dxa"/>
          </w:tcPr>
          <w:p w14:paraId="4E3BBD0D"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0.9%</w:t>
            </w:r>
          </w:p>
        </w:tc>
      </w:tr>
      <w:tr w:rsidR="001B38AE" w:rsidRPr="005E6503" w14:paraId="50460169" w14:textId="77777777" w:rsidTr="006A5251">
        <w:tc>
          <w:tcPr>
            <w:tcW w:w="4385" w:type="dxa"/>
          </w:tcPr>
          <w:p w14:paraId="2F4E838D"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Health and Aged Care</w:t>
            </w:r>
          </w:p>
        </w:tc>
        <w:tc>
          <w:tcPr>
            <w:tcW w:w="1156" w:type="dxa"/>
          </w:tcPr>
          <w:p w14:paraId="721980FA"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1,680.01</w:t>
            </w:r>
          </w:p>
        </w:tc>
        <w:tc>
          <w:tcPr>
            <w:tcW w:w="1157" w:type="dxa"/>
          </w:tcPr>
          <w:p w14:paraId="5775DEF8"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1,684.30</w:t>
            </w:r>
          </w:p>
        </w:tc>
        <w:tc>
          <w:tcPr>
            <w:tcW w:w="1156" w:type="dxa"/>
          </w:tcPr>
          <w:p w14:paraId="5FF7BC83"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0.3%</w:t>
            </w:r>
          </w:p>
        </w:tc>
        <w:tc>
          <w:tcPr>
            <w:tcW w:w="1157" w:type="dxa"/>
          </w:tcPr>
          <w:p w14:paraId="3E07E76C"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13.4%</w:t>
            </w:r>
          </w:p>
        </w:tc>
      </w:tr>
      <w:tr w:rsidR="001B38AE" w:rsidRPr="005E6503" w14:paraId="5F43E998" w14:textId="77777777" w:rsidTr="006A5251">
        <w:tc>
          <w:tcPr>
            <w:tcW w:w="4385" w:type="dxa"/>
          </w:tcPr>
          <w:p w14:paraId="28B0F78E"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Home Affairs</w:t>
            </w:r>
          </w:p>
        </w:tc>
        <w:tc>
          <w:tcPr>
            <w:tcW w:w="1156" w:type="dxa"/>
          </w:tcPr>
          <w:p w14:paraId="2815D755"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8.61</w:t>
            </w:r>
          </w:p>
        </w:tc>
        <w:tc>
          <w:tcPr>
            <w:tcW w:w="1157" w:type="dxa"/>
          </w:tcPr>
          <w:p w14:paraId="68F29C10"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7.50</w:t>
            </w:r>
          </w:p>
        </w:tc>
        <w:tc>
          <w:tcPr>
            <w:tcW w:w="1156" w:type="dxa"/>
          </w:tcPr>
          <w:p w14:paraId="3E59F6E4" w14:textId="77777777" w:rsidR="001B38AE" w:rsidRPr="005E6503" w:rsidRDefault="001B38AE" w:rsidP="00432008">
            <w:pPr>
              <w:autoSpaceDE w:val="0"/>
              <w:autoSpaceDN w:val="0"/>
              <w:adjustRightInd w:val="0"/>
              <w:spacing w:before="0" w:after="0"/>
              <w:jc w:val="right"/>
              <w:rPr>
                <w:rFonts w:eastAsiaTheme="minorHAnsi" w:cs="Arial"/>
                <w:color w:val="FF0000"/>
                <w:sz w:val="16"/>
                <w:szCs w:val="16"/>
                <w:lang w:val="en-GB" w:eastAsia="en-US"/>
                <w14:ligatures w14:val="standardContextual"/>
              </w:rPr>
            </w:pPr>
            <w:r w:rsidRPr="005E6503">
              <w:rPr>
                <w:rFonts w:eastAsiaTheme="minorHAnsi" w:cs="Arial"/>
                <w:color w:val="FF0000"/>
                <w:sz w:val="16"/>
                <w:szCs w:val="16"/>
                <w:lang w:val="en-GB" w:eastAsia="en-US"/>
                <w14:ligatures w14:val="standardContextual"/>
              </w:rPr>
              <w:t>-12.9%</w:t>
            </w:r>
          </w:p>
        </w:tc>
        <w:tc>
          <w:tcPr>
            <w:tcW w:w="1157" w:type="dxa"/>
          </w:tcPr>
          <w:p w14:paraId="1C6163F2"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0.1%</w:t>
            </w:r>
          </w:p>
        </w:tc>
      </w:tr>
      <w:tr w:rsidR="001B38AE" w:rsidRPr="005E6503" w14:paraId="6FEA8646" w14:textId="77777777" w:rsidTr="006A5251">
        <w:tc>
          <w:tcPr>
            <w:tcW w:w="4385" w:type="dxa"/>
          </w:tcPr>
          <w:p w14:paraId="4B654C47"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Industry, Science and Resources</w:t>
            </w:r>
          </w:p>
        </w:tc>
        <w:tc>
          <w:tcPr>
            <w:tcW w:w="1156" w:type="dxa"/>
          </w:tcPr>
          <w:p w14:paraId="082C1464"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5,036.22</w:t>
            </w:r>
          </w:p>
        </w:tc>
        <w:tc>
          <w:tcPr>
            <w:tcW w:w="1157" w:type="dxa"/>
          </w:tcPr>
          <w:p w14:paraId="1E16F694"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5,081.71</w:t>
            </w:r>
          </w:p>
        </w:tc>
        <w:tc>
          <w:tcPr>
            <w:tcW w:w="1156" w:type="dxa"/>
          </w:tcPr>
          <w:p w14:paraId="71FE52B8"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0.9%</w:t>
            </w:r>
          </w:p>
        </w:tc>
        <w:tc>
          <w:tcPr>
            <w:tcW w:w="1157" w:type="dxa"/>
          </w:tcPr>
          <w:p w14:paraId="44B85D92"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40.3%</w:t>
            </w:r>
          </w:p>
        </w:tc>
      </w:tr>
      <w:tr w:rsidR="001B38AE" w:rsidRPr="005E6503" w14:paraId="412C40AE" w14:textId="77777777" w:rsidTr="006A5251">
        <w:tc>
          <w:tcPr>
            <w:tcW w:w="4385" w:type="dxa"/>
          </w:tcPr>
          <w:p w14:paraId="132E1C46"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 xml:space="preserve">Infrastructure, Transport, Regional </w:t>
            </w:r>
            <w:proofErr w:type="spellStart"/>
            <w:r w:rsidRPr="005E6503">
              <w:rPr>
                <w:rFonts w:eastAsiaTheme="minorHAnsi" w:cs="Arial"/>
                <w:color w:val="000000"/>
                <w:sz w:val="16"/>
                <w:szCs w:val="16"/>
                <w:lang w:val="en-GB" w:eastAsia="en-US"/>
                <w14:ligatures w14:val="standardContextual"/>
              </w:rPr>
              <w:t>Dev</w:t>
            </w:r>
            <w:r>
              <w:rPr>
                <w:rFonts w:eastAsiaTheme="minorHAnsi" w:cs="Arial"/>
                <w:color w:val="000000"/>
                <w:sz w:val="16"/>
                <w:szCs w:val="16"/>
                <w:lang w:val="en-GB" w:eastAsia="en-US"/>
                <w14:ligatures w14:val="standardContextual"/>
              </w:rPr>
              <w:t>elt</w:t>
            </w:r>
            <w:proofErr w:type="spellEnd"/>
            <w:r>
              <w:rPr>
                <w:rFonts w:eastAsiaTheme="minorHAnsi" w:cs="Arial"/>
                <w:color w:val="000000"/>
                <w:sz w:val="16"/>
                <w:szCs w:val="16"/>
                <w:lang w:val="en-GB" w:eastAsia="en-US"/>
                <w14:ligatures w14:val="standardContextual"/>
              </w:rPr>
              <w:t>, Comms &amp; Arts</w:t>
            </w:r>
          </w:p>
        </w:tc>
        <w:tc>
          <w:tcPr>
            <w:tcW w:w="1156" w:type="dxa"/>
          </w:tcPr>
          <w:p w14:paraId="6AFF722F"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38.95</w:t>
            </w:r>
          </w:p>
        </w:tc>
        <w:tc>
          <w:tcPr>
            <w:tcW w:w="1157" w:type="dxa"/>
          </w:tcPr>
          <w:p w14:paraId="64CC5D39"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46.49</w:t>
            </w:r>
          </w:p>
        </w:tc>
        <w:tc>
          <w:tcPr>
            <w:tcW w:w="1156" w:type="dxa"/>
          </w:tcPr>
          <w:p w14:paraId="0F214022"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19.3%</w:t>
            </w:r>
          </w:p>
        </w:tc>
        <w:tc>
          <w:tcPr>
            <w:tcW w:w="1157" w:type="dxa"/>
          </w:tcPr>
          <w:p w14:paraId="09A60576"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0.4%</w:t>
            </w:r>
          </w:p>
        </w:tc>
      </w:tr>
      <w:tr w:rsidR="001B38AE" w:rsidRPr="005E6503" w14:paraId="54012755" w14:textId="77777777" w:rsidTr="006A5251">
        <w:tc>
          <w:tcPr>
            <w:tcW w:w="4385" w:type="dxa"/>
          </w:tcPr>
          <w:p w14:paraId="59BA319F"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Prime Minister and Cabinet</w:t>
            </w:r>
          </w:p>
        </w:tc>
        <w:tc>
          <w:tcPr>
            <w:tcW w:w="1156" w:type="dxa"/>
          </w:tcPr>
          <w:p w14:paraId="570E7581"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1.87</w:t>
            </w:r>
          </w:p>
        </w:tc>
        <w:tc>
          <w:tcPr>
            <w:tcW w:w="1157" w:type="dxa"/>
          </w:tcPr>
          <w:p w14:paraId="60BEC069"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2.05</w:t>
            </w:r>
          </w:p>
        </w:tc>
        <w:tc>
          <w:tcPr>
            <w:tcW w:w="1156" w:type="dxa"/>
          </w:tcPr>
          <w:p w14:paraId="10E8613A"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9.5%</w:t>
            </w:r>
          </w:p>
        </w:tc>
        <w:tc>
          <w:tcPr>
            <w:tcW w:w="1157" w:type="dxa"/>
          </w:tcPr>
          <w:p w14:paraId="3DE6A2D2"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0.0%</w:t>
            </w:r>
          </w:p>
        </w:tc>
      </w:tr>
      <w:tr w:rsidR="001B38AE" w:rsidRPr="005E6503" w14:paraId="47C2FD74" w14:textId="77777777" w:rsidTr="006A5251">
        <w:tc>
          <w:tcPr>
            <w:tcW w:w="4385" w:type="dxa"/>
          </w:tcPr>
          <w:p w14:paraId="4B4EC7F0"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Social Services</w:t>
            </w:r>
          </w:p>
        </w:tc>
        <w:tc>
          <w:tcPr>
            <w:tcW w:w="1156" w:type="dxa"/>
          </w:tcPr>
          <w:p w14:paraId="285916C9"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49.33</w:t>
            </w:r>
          </w:p>
        </w:tc>
        <w:tc>
          <w:tcPr>
            <w:tcW w:w="1157" w:type="dxa"/>
          </w:tcPr>
          <w:p w14:paraId="7CCBD344"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53.37</w:t>
            </w:r>
          </w:p>
        </w:tc>
        <w:tc>
          <w:tcPr>
            <w:tcW w:w="1156" w:type="dxa"/>
          </w:tcPr>
          <w:p w14:paraId="3274C506"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8.2%</w:t>
            </w:r>
          </w:p>
        </w:tc>
        <w:tc>
          <w:tcPr>
            <w:tcW w:w="1157" w:type="dxa"/>
          </w:tcPr>
          <w:p w14:paraId="44B7519E"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0.4%</w:t>
            </w:r>
          </w:p>
        </w:tc>
      </w:tr>
      <w:tr w:rsidR="001B38AE" w:rsidRPr="005E6503" w14:paraId="3A6A3D80" w14:textId="77777777" w:rsidTr="006A5251">
        <w:tc>
          <w:tcPr>
            <w:tcW w:w="4385" w:type="dxa"/>
          </w:tcPr>
          <w:p w14:paraId="1E8229ED"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Treasury</w:t>
            </w:r>
          </w:p>
        </w:tc>
        <w:tc>
          <w:tcPr>
            <w:tcW w:w="1156" w:type="dxa"/>
            <w:tcBorders>
              <w:bottom w:val="nil"/>
            </w:tcBorders>
          </w:tcPr>
          <w:p w14:paraId="028F3A53"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1.94</w:t>
            </w:r>
          </w:p>
        </w:tc>
        <w:tc>
          <w:tcPr>
            <w:tcW w:w="1157" w:type="dxa"/>
            <w:tcBorders>
              <w:bottom w:val="nil"/>
            </w:tcBorders>
          </w:tcPr>
          <w:p w14:paraId="4BBD31BB"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1.98</w:t>
            </w:r>
          </w:p>
        </w:tc>
        <w:tc>
          <w:tcPr>
            <w:tcW w:w="1156" w:type="dxa"/>
            <w:tcBorders>
              <w:bottom w:val="nil"/>
            </w:tcBorders>
          </w:tcPr>
          <w:p w14:paraId="3429B9E3"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2.5%</w:t>
            </w:r>
          </w:p>
        </w:tc>
        <w:tc>
          <w:tcPr>
            <w:tcW w:w="1157" w:type="dxa"/>
            <w:tcBorders>
              <w:bottom w:val="nil"/>
            </w:tcBorders>
          </w:tcPr>
          <w:p w14:paraId="3FCD19F9"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0.0%</w:t>
            </w:r>
          </w:p>
        </w:tc>
      </w:tr>
      <w:tr w:rsidR="001B38AE" w:rsidRPr="005E6503" w14:paraId="1F9D6B42" w14:textId="77777777" w:rsidTr="006A5251">
        <w:tc>
          <w:tcPr>
            <w:tcW w:w="4385" w:type="dxa"/>
          </w:tcPr>
          <w:p w14:paraId="18C61B63" w14:textId="77777777" w:rsidR="001B38AE" w:rsidRPr="005E6503"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Veterans' Affairs</w:t>
            </w:r>
          </w:p>
        </w:tc>
        <w:tc>
          <w:tcPr>
            <w:tcW w:w="1156" w:type="dxa"/>
            <w:tcBorders>
              <w:top w:val="nil"/>
              <w:bottom w:val="single" w:sz="4" w:space="0" w:color="auto"/>
            </w:tcBorders>
          </w:tcPr>
          <w:p w14:paraId="03156E2D"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7.45</w:t>
            </w:r>
          </w:p>
        </w:tc>
        <w:tc>
          <w:tcPr>
            <w:tcW w:w="1157" w:type="dxa"/>
            <w:tcBorders>
              <w:top w:val="nil"/>
              <w:bottom w:val="single" w:sz="4" w:space="0" w:color="auto"/>
            </w:tcBorders>
          </w:tcPr>
          <w:p w14:paraId="68305337"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6.04</w:t>
            </w:r>
          </w:p>
        </w:tc>
        <w:tc>
          <w:tcPr>
            <w:tcW w:w="1156" w:type="dxa"/>
            <w:tcBorders>
              <w:top w:val="nil"/>
              <w:bottom w:val="single" w:sz="4" w:space="0" w:color="auto"/>
            </w:tcBorders>
          </w:tcPr>
          <w:p w14:paraId="20F55EE5" w14:textId="77777777" w:rsidR="001B38AE" w:rsidRPr="005E6503" w:rsidRDefault="001B38AE" w:rsidP="00432008">
            <w:pPr>
              <w:autoSpaceDE w:val="0"/>
              <w:autoSpaceDN w:val="0"/>
              <w:adjustRightInd w:val="0"/>
              <w:spacing w:before="0" w:after="0"/>
              <w:jc w:val="right"/>
              <w:rPr>
                <w:rFonts w:eastAsiaTheme="minorHAnsi" w:cs="Arial"/>
                <w:color w:val="FF0000"/>
                <w:sz w:val="16"/>
                <w:szCs w:val="16"/>
                <w:lang w:val="en-GB" w:eastAsia="en-US"/>
                <w14:ligatures w14:val="standardContextual"/>
              </w:rPr>
            </w:pPr>
            <w:r w:rsidRPr="005E6503">
              <w:rPr>
                <w:rFonts w:eastAsiaTheme="minorHAnsi" w:cs="Arial"/>
                <w:color w:val="FF0000"/>
                <w:sz w:val="16"/>
                <w:szCs w:val="16"/>
                <w:lang w:val="en-GB" w:eastAsia="en-US"/>
                <w14:ligatures w14:val="standardContextual"/>
              </w:rPr>
              <w:t>-18.9%</w:t>
            </w:r>
          </w:p>
        </w:tc>
        <w:tc>
          <w:tcPr>
            <w:tcW w:w="1157" w:type="dxa"/>
            <w:tcBorders>
              <w:top w:val="nil"/>
              <w:bottom w:val="single" w:sz="4" w:space="0" w:color="auto"/>
            </w:tcBorders>
          </w:tcPr>
          <w:p w14:paraId="00462F9E"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0.0%</w:t>
            </w:r>
          </w:p>
        </w:tc>
      </w:tr>
      <w:tr w:rsidR="001B38AE" w:rsidRPr="005E6503" w14:paraId="18A6EE6E" w14:textId="77777777" w:rsidTr="006A5251">
        <w:tc>
          <w:tcPr>
            <w:tcW w:w="4385" w:type="dxa"/>
          </w:tcPr>
          <w:p w14:paraId="752898EB" w14:textId="77777777" w:rsidR="001B38AE" w:rsidRPr="005E6503" w:rsidRDefault="001B38AE" w:rsidP="00432008">
            <w:pPr>
              <w:autoSpaceDE w:val="0"/>
              <w:autoSpaceDN w:val="0"/>
              <w:adjustRightInd w:val="0"/>
              <w:spacing w:before="0" w:after="0"/>
              <w:rPr>
                <w:rFonts w:eastAsiaTheme="minorHAnsi" w:cs="Arial"/>
                <w:b/>
                <w:bCs/>
                <w:color w:val="000000"/>
                <w:sz w:val="16"/>
                <w:szCs w:val="16"/>
                <w:lang w:val="en-GB" w:eastAsia="en-US"/>
                <w14:ligatures w14:val="standardContextual"/>
              </w:rPr>
            </w:pPr>
            <w:r w:rsidRPr="005E6503">
              <w:rPr>
                <w:rFonts w:eastAsiaTheme="minorHAnsi" w:cs="Arial"/>
                <w:b/>
                <w:bCs/>
                <w:color w:val="000000"/>
                <w:sz w:val="16"/>
                <w:szCs w:val="16"/>
                <w:lang w:val="en-GB" w:eastAsia="en-US"/>
                <w14:ligatures w14:val="standardContextual"/>
              </w:rPr>
              <w:t>Total</w:t>
            </w:r>
          </w:p>
        </w:tc>
        <w:tc>
          <w:tcPr>
            <w:tcW w:w="1156" w:type="dxa"/>
            <w:tcBorders>
              <w:top w:val="single" w:sz="4" w:space="0" w:color="auto"/>
            </w:tcBorders>
          </w:tcPr>
          <w:p w14:paraId="317F64B6" w14:textId="77777777" w:rsidR="001B38AE" w:rsidRPr="005E6503" w:rsidRDefault="001B38AE" w:rsidP="00432008">
            <w:pPr>
              <w:autoSpaceDE w:val="0"/>
              <w:autoSpaceDN w:val="0"/>
              <w:adjustRightInd w:val="0"/>
              <w:spacing w:before="0" w:after="0"/>
              <w:jc w:val="right"/>
              <w:rPr>
                <w:rFonts w:eastAsiaTheme="minorHAnsi" w:cs="Arial"/>
                <w:b/>
                <w:bCs/>
                <w:color w:val="000000"/>
                <w:sz w:val="16"/>
                <w:szCs w:val="16"/>
                <w:lang w:val="en-GB" w:eastAsia="en-US"/>
                <w14:ligatures w14:val="standardContextual"/>
              </w:rPr>
            </w:pPr>
            <w:r w:rsidRPr="005E6503">
              <w:rPr>
                <w:rFonts w:eastAsiaTheme="minorHAnsi" w:cs="Arial"/>
                <w:b/>
                <w:bCs/>
                <w:color w:val="000000"/>
                <w:sz w:val="16"/>
                <w:szCs w:val="16"/>
                <w:lang w:val="en-GB" w:eastAsia="en-US"/>
                <w14:ligatures w14:val="standardContextual"/>
              </w:rPr>
              <w:t>12,282.40</w:t>
            </w:r>
          </w:p>
        </w:tc>
        <w:tc>
          <w:tcPr>
            <w:tcW w:w="1157" w:type="dxa"/>
            <w:tcBorders>
              <w:top w:val="single" w:sz="4" w:space="0" w:color="auto"/>
            </w:tcBorders>
          </w:tcPr>
          <w:p w14:paraId="7F475EF9" w14:textId="77777777" w:rsidR="001B38AE" w:rsidRPr="005E6503" w:rsidRDefault="001B38AE" w:rsidP="00432008">
            <w:pPr>
              <w:autoSpaceDE w:val="0"/>
              <w:autoSpaceDN w:val="0"/>
              <w:adjustRightInd w:val="0"/>
              <w:spacing w:before="0" w:after="0"/>
              <w:jc w:val="right"/>
              <w:rPr>
                <w:rFonts w:eastAsiaTheme="minorHAnsi" w:cs="Arial"/>
                <w:b/>
                <w:bCs/>
                <w:color w:val="000000"/>
                <w:sz w:val="16"/>
                <w:szCs w:val="16"/>
                <w:lang w:val="en-GB" w:eastAsia="en-US"/>
                <w14:ligatures w14:val="standardContextual"/>
              </w:rPr>
            </w:pPr>
            <w:r w:rsidRPr="005E6503">
              <w:rPr>
                <w:rFonts w:eastAsiaTheme="minorHAnsi" w:cs="Arial"/>
                <w:b/>
                <w:bCs/>
                <w:color w:val="000000"/>
                <w:sz w:val="16"/>
                <w:szCs w:val="16"/>
                <w:lang w:val="en-GB" w:eastAsia="en-US"/>
                <w14:ligatures w14:val="standardContextual"/>
              </w:rPr>
              <w:t>12,610.80</w:t>
            </w:r>
          </w:p>
        </w:tc>
        <w:tc>
          <w:tcPr>
            <w:tcW w:w="1156" w:type="dxa"/>
            <w:tcBorders>
              <w:top w:val="single" w:sz="4" w:space="0" w:color="auto"/>
            </w:tcBorders>
          </w:tcPr>
          <w:p w14:paraId="701373E2" w14:textId="77777777" w:rsidR="001B38AE" w:rsidRPr="005E6503" w:rsidRDefault="001B38AE" w:rsidP="00432008">
            <w:pPr>
              <w:autoSpaceDE w:val="0"/>
              <w:autoSpaceDN w:val="0"/>
              <w:adjustRightInd w:val="0"/>
              <w:spacing w:before="0" w:after="0"/>
              <w:jc w:val="right"/>
              <w:rPr>
                <w:rFonts w:eastAsiaTheme="minorHAnsi" w:cs="Arial"/>
                <w:b/>
                <w:bCs/>
                <w:color w:val="000000"/>
                <w:sz w:val="16"/>
                <w:szCs w:val="16"/>
                <w:lang w:val="en-GB" w:eastAsia="en-US"/>
                <w14:ligatures w14:val="standardContextual"/>
              </w:rPr>
            </w:pPr>
            <w:r w:rsidRPr="005E6503">
              <w:rPr>
                <w:rFonts w:eastAsiaTheme="minorHAnsi" w:cs="Arial"/>
                <w:b/>
                <w:bCs/>
                <w:color w:val="000000"/>
                <w:sz w:val="16"/>
                <w:szCs w:val="16"/>
                <w:lang w:val="en-GB" w:eastAsia="en-US"/>
                <w14:ligatures w14:val="standardContextual"/>
              </w:rPr>
              <w:t>2.7%</w:t>
            </w:r>
          </w:p>
        </w:tc>
        <w:tc>
          <w:tcPr>
            <w:tcW w:w="1157" w:type="dxa"/>
            <w:tcBorders>
              <w:top w:val="single" w:sz="4" w:space="0" w:color="auto"/>
            </w:tcBorders>
          </w:tcPr>
          <w:p w14:paraId="3551A801" w14:textId="77777777" w:rsidR="001B38AE" w:rsidRPr="005E6503"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5E6503">
              <w:rPr>
                <w:rFonts w:eastAsiaTheme="minorHAnsi" w:cs="Arial"/>
                <w:color w:val="000000"/>
                <w:sz w:val="16"/>
                <w:szCs w:val="16"/>
                <w:lang w:val="en-GB" w:eastAsia="en-US"/>
                <w14:ligatures w14:val="standardContextual"/>
              </w:rPr>
              <w:t>100.0%</w:t>
            </w:r>
          </w:p>
        </w:tc>
      </w:tr>
    </w:tbl>
    <w:p w14:paraId="5715B10D" w14:textId="77777777" w:rsidR="001B38AE" w:rsidRPr="00584B19" w:rsidRDefault="001B38AE" w:rsidP="001B38AE">
      <w:pPr>
        <w:spacing w:before="0" w:after="0"/>
        <w:rPr>
          <w:rFonts w:eastAsia="Aptos"/>
          <w:sz w:val="15"/>
          <w:szCs w:val="15"/>
        </w:rPr>
      </w:pPr>
      <w:r w:rsidRPr="00584B19">
        <w:rPr>
          <w:rFonts w:eastAsia="Aptos"/>
          <w:sz w:val="15"/>
          <w:szCs w:val="15"/>
        </w:rPr>
        <w:t>Source: SRI Budget Tables</w:t>
      </w:r>
    </w:p>
    <w:p w14:paraId="76361750" w14:textId="3965BEB6" w:rsidR="001B38AE" w:rsidRDefault="001B38AE" w:rsidP="001B38AE">
      <w:pPr>
        <w:rPr>
          <w:rFonts w:eastAsia="Aptos"/>
        </w:rPr>
      </w:pPr>
      <w:r>
        <w:rPr>
          <w:rFonts w:eastAsia="Aptos"/>
        </w:rPr>
        <w:t>The SRI Budget Tables report an aggregation of expenditure decisions made on a portfolio-by-portfolio basis through Ministerial Cabinet submission and Cabinet decision-making processes.</w:t>
      </w:r>
      <w:r w:rsidR="00D85049">
        <w:rPr>
          <w:rFonts w:eastAsia="Aptos"/>
        </w:rPr>
        <w:t xml:space="preserve"> </w:t>
      </w:r>
    </w:p>
    <w:p w14:paraId="14293EDE" w14:textId="2E807331" w:rsidR="001B38AE" w:rsidRDefault="001B38AE" w:rsidP="001B38AE">
      <w:pPr>
        <w:rPr>
          <w:rFonts w:eastAsia="Aptos"/>
        </w:rPr>
      </w:pPr>
      <w:r>
        <w:rPr>
          <w:rFonts w:eastAsia="Aptos"/>
          <w:szCs w:val="22"/>
        </w:rPr>
        <w:t>There are no formal arrangements for research and innovation policy coordination and collaboration across these portfolios, such as through a Science, Research, and Innovation Committee of Cabinet.</w:t>
      </w:r>
      <w:r w:rsidR="00D85049">
        <w:rPr>
          <w:rFonts w:eastAsia="Aptos"/>
          <w:szCs w:val="22"/>
        </w:rPr>
        <w:t xml:space="preserve"> </w:t>
      </w:r>
      <w:hyperlink r:id="rId19" w:history="1">
        <w:r w:rsidRPr="00734471">
          <w:rPr>
            <w:rStyle w:val="Hyperlink"/>
            <w:rFonts w:eastAsia="Aptos"/>
            <w:szCs w:val="22"/>
          </w:rPr>
          <w:t>Industry, Innovation and Science Australia</w:t>
        </w:r>
      </w:hyperlink>
      <w:r>
        <w:rPr>
          <w:rFonts w:eastAsia="Aptos"/>
          <w:szCs w:val="22"/>
        </w:rPr>
        <w:t xml:space="preserve"> does not have that role. The </w:t>
      </w:r>
      <w:hyperlink r:id="rId20" w:history="1">
        <w:r w:rsidRPr="009E4E1F">
          <w:rPr>
            <w:rStyle w:val="Hyperlink"/>
            <w:rFonts w:eastAsia="Aptos"/>
            <w:szCs w:val="22"/>
          </w:rPr>
          <w:t>National Science and Technology Council</w:t>
        </w:r>
      </w:hyperlink>
      <w:r>
        <w:rPr>
          <w:rFonts w:eastAsia="Aptos"/>
          <w:szCs w:val="22"/>
        </w:rPr>
        <w:t xml:space="preserve"> is an advisory body only.</w:t>
      </w:r>
      <w:r w:rsidR="00D85049">
        <w:rPr>
          <w:rFonts w:eastAsia="Aptos"/>
          <w:szCs w:val="22"/>
        </w:rPr>
        <w:t xml:space="preserve"> </w:t>
      </w:r>
      <w:r>
        <w:rPr>
          <w:rFonts w:eastAsia="Aptos"/>
        </w:rPr>
        <w:t xml:space="preserve">This process differs from other countries with National Science/Research Foundations, such as the US, Germany, and Korea. </w:t>
      </w:r>
    </w:p>
    <w:p w14:paraId="0D5D8638" w14:textId="135B5CA8" w:rsidR="001B38AE" w:rsidRDefault="007D53DB" w:rsidP="001B38AE">
      <w:pPr>
        <w:rPr>
          <w:rFonts w:eastAsia="Aptos"/>
        </w:rPr>
      </w:pPr>
      <w:r>
        <w:rPr>
          <w:rFonts w:eastAsia="Aptos"/>
        </w:rPr>
        <w:t xml:space="preserve">In </w:t>
      </w:r>
      <w:r w:rsidR="001B38AE">
        <w:rPr>
          <w:rFonts w:eastAsia="Aptos"/>
        </w:rPr>
        <w:t xml:space="preserve">2023-24, the Education portfolio was a clear winner in this resource allocation framework, with budgeted expenditures </w:t>
      </w:r>
      <w:r w:rsidR="001B38AE" w:rsidRPr="005B2CCD">
        <w:rPr>
          <w:rFonts w:eastAsia="Aptos"/>
        </w:rPr>
        <w:t>up 11.4% on $3.5 billion</w:t>
      </w:r>
      <w:r w:rsidR="001B38AE">
        <w:rPr>
          <w:rFonts w:eastAsia="Aptos"/>
        </w:rPr>
        <w:t xml:space="preserve"> in 2022-23. The </w:t>
      </w:r>
      <w:r w:rsidR="001B38AE" w:rsidRPr="005B2CCD">
        <w:rPr>
          <w:rFonts w:eastAsia="Aptos"/>
        </w:rPr>
        <w:t>Industry</w:t>
      </w:r>
      <w:r w:rsidR="001B38AE">
        <w:rPr>
          <w:rFonts w:eastAsia="Aptos"/>
        </w:rPr>
        <w:t>, Science, and Resources</w:t>
      </w:r>
      <w:r w:rsidR="001B38AE" w:rsidRPr="005B2CCD">
        <w:rPr>
          <w:rFonts w:eastAsia="Aptos"/>
        </w:rPr>
        <w:t xml:space="preserve"> </w:t>
      </w:r>
      <w:r w:rsidR="001B38AE">
        <w:rPr>
          <w:rFonts w:eastAsia="Aptos"/>
        </w:rPr>
        <w:t xml:space="preserve">portfolio had a small increase of </w:t>
      </w:r>
      <w:r w:rsidR="001B38AE" w:rsidRPr="005B2CCD">
        <w:rPr>
          <w:rFonts w:eastAsia="Aptos"/>
        </w:rPr>
        <w:t>0.9% on $5.1 billion</w:t>
      </w:r>
      <w:r w:rsidR="001B38AE">
        <w:rPr>
          <w:rFonts w:eastAsia="Aptos"/>
        </w:rPr>
        <w:t>,</w:t>
      </w:r>
      <w:r w:rsidR="001B38AE" w:rsidRPr="005B2CCD">
        <w:rPr>
          <w:rFonts w:eastAsia="Aptos"/>
        </w:rPr>
        <w:t xml:space="preserve"> and </w:t>
      </w:r>
      <w:r w:rsidR="001B38AE">
        <w:rPr>
          <w:rFonts w:eastAsia="Aptos"/>
        </w:rPr>
        <w:t xml:space="preserve">the </w:t>
      </w:r>
      <w:proofErr w:type="gramStart"/>
      <w:r w:rsidR="001B38AE" w:rsidRPr="005B2CCD">
        <w:rPr>
          <w:rFonts w:eastAsia="Aptos"/>
        </w:rPr>
        <w:t>Health</w:t>
      </w:r>
      <w:proofErr w:type="gramEnd"/>
      <w:r w:rsidR="001B38AE" w:rsidRPr="005B2CCD">
        <w:rPr>
          <w:rFonts w:eastAsia="Aptos"/>
        </w:rPr>
        <w:t xml:space="preserve"> </w:t>
      </w:r>
      <w:r w:rsidR="001B38AE">
        <w:rPr>
          <w:rFonts w:eastAsia="Aptos"/>
        </w:rPr>
        <w:t xml:space="preserve">portfolio secured a </w:t>
      </w:r>
      <w:r w:rsidR="001B38AE" w:rsidRPr="005B2CCD">
        <w:rPr>
          <w:rFonts w:eastAsia="Aptos"/>
        </w:rPr>
        <w:t>marginal increase of 0.3% on $1.7 billion</w:t>
      </w:r>
      <w:r w:rsidR="001B38AE">
        <w:rPr>
          <w:rFonts w:eastAsia="Aptos"/>
        </w:rPr>
        <w:t>.</w:t>
      </w:r>
      <w:r w:rsidR="00D85049">
        <w:rPr>
          <w:rFonts w:eastAsia="Aptos"/>
        </w:rPr>
        <w:t xml:space="preserve"> </w:t>
      </w:r>
      <w:r w:rsidR="001B38AE">
        <w:rPr>
          <w:rFonts w:eastAsia="Aptos"/>
        </w:rPr>
        <w:t xml:space="preserve">Defence was a significant loser, with a reduction of 11.1% on an expenditure of $632m in 2022-23. </w:t>
      </w:r>
      <w:r w:rsidR="001B38AE" w:rsidRPr="005B2CCD">
        <w:rPr>
          <w:rFonts w:eastAsia="Aptos"/>
        </w:rPr>
        <w:t xml:space="preserve">Other portfolios </w:t>
      </w:r>
      <w:r w:rsidR="001B38AE">
        <w:rPr>
          <w:rFonts w:eastAsia="Aptos"/>
        </w:rPr>
        <w:t>had</w:t>
      </w:r>
      <w:r w:rsidR="001B38AE" w:rsidRPr="005B2CCD">
        <w:rPr>
          <w:rFonts w:eastAsia="Aptos"/>
        </w:rPr>
        <w:t xml:space="preserve"> gains and losses, but the amounts </w:t>
      </w:r>
      <w:r w:rsidR="001B38AE">
        <w:rPr>
          <w:rFonts w:eastAsia="Aptos"/>
        </w:rPr>
        <w:t>were relatively small.</w:t>
      </w:r>
      <w:r w:rsidR="00D85049">
        <w:rPr>
          <w:rFonts w:eastAsia="Aptos"/>
        </w:rPr>
        <w:t xml:space="preserve"> </w:t>
      </w:r>
    </w:p>
    <w:p w14:paraId="57F2D554" w14:textId="58BDF1D6" w:rsidR="001B38AE" w:rsidRDefault="001B38AE" w:rsidP="001B38AE">
      <w:pPr>
        <w:rPr>
          <w:rFonts w:eastAsia="Aptos"/>
        </w:rPr>
      </w:pPr>
      <w:r>
        <w:rPr>
          <w:rFonts w:eastAsia="Aptos"/>
        </w:rPr>
        <w:t xml:space="preserve">Frequent machinery of government changes and reallocation of ministerial responsibilities have introduced substantial instability into the system. </w:t>
      </w:r>
      <w:r w:rsidRPr="00B8577C">
        <w:rPr>
          <w:rFonts w:eastAsia="Aptos"/>
          <w:i/>
          <w:iCs/>
        </w:rPr>
        <w:t>Fourteen</w:t>
      </w:r>
      <w:r w:rsidR="00D85049">
        <w:rPr>
          <w:rFonts w:eastAsia="Aptos"/>
        </w:rPr>
        <w:t xml:space="preserve"> </w:t>
      </w:r>
      <w:r>
        <w:rPr>
          <w:rFonts w:eastAsia="Aptos"/>
        </w:rPr>
        <w:t>Ministers have had portfolio responsibilities for industry, science, and innovation functions since 2008</w:t>
      </w:r>
      <w:r>
        <w:rPr>
          <w:rStyle w:val="FootnoteReference"/>
        </w:rPr>
        <w:footnoteReference w:id="7"/>
      </w:r>
      <w:r>
        <w:rPr>
          <w:rFonts w:eastAsia="Aptos"/>
        </w:rPr>
        <w:t xml:space="preserve">. </w:t>
      </w:r>
    </w:p>
    <w:p w14:paraId="19EEE031" w14:textId="4F701C94" w:rsidR="001B38AE" w:rsidRDefault="001B38AE" w:rsidP="001B38AE">
      <w:pPr>
        <w:rPr>
          <w:rFonts w:eastAsia="Aptos"/>
        </w:rPr>
      </w:pPr>
      <w:r>
        <w:rPr>
          <w:rFonts w:eastAsia="Aptos"/>
        </w:rPr>
        <w:t xml:space="preserve">Program responsibilities have been shuffled between portfolios—particularly between Industry and Education. Newly appointed Ministers have different priorities impacting program design, </w:t>
      </w:r>
      <w:r w:rsidR="000620EB">
        <w:rPr>
          <w:rFonts w:eastAsia="Aptos"/>
        </w:rPr>
        <w:t>continuity,</w:t>
      </w:r>
      <w:r>
        <w:rPr>
          <w:rFonts w:eastAsia="Aptos"/>
        </w:rPr>
        <w:t xml:space="preserve"> and funding commitment. </w:t>
      </w:r>
    </w:p>
    <w:p w14:paraId="4020F18F" w14:textId="77777777" w:rsidR="001B38AE" w:rsidRDefault="001B38AE" w:rsidP="001B38AE">
      <w:pPr>
        <w:pStyle w:val="Heading2"/>
      </w:pPr>
      <w:bookmarkStart w:id="25" w:name="_Toc160445123"/>
      <w:r>
        <w:t>Investment among programs</w:t>
      </w:r>
      <w:bookmarkEnd w:id="25"/>
    </w:p>
    <w:p w14:paraId="4ADFCC3F" w14:textId="2E21B5CB" w:rsidR="001B38AE" w:rsidRDefault="001B38AE" w:rsidP="001B38AE">
      <w:pPr>
        <w:rPr>
          <w:rFonts w:eastAsia="Aptos"/>
        </w:rPr>
      </w:pPr>
      <w:r>
        <w:rPr>
          <w:rFonts w:cs="Aptos"/>
          <w:color w:val="000000"/>
          <w:szCs w:val="22"/>
        </w:rPr>
        <w:t xml:space="preserve">The </w:t>
      </w:r>
      <w:r w:rsidRPr="00113F84">
        <w:rPr>
          <w:rFonts w:cs="Aptos"/>
          <w:i/>
          <w:iCs/>
          <w:color w:val="000000"/>
          <w:szCs w:val="22"/>
        </w:rPr>
        <w:t>Science Research and Innovation (SRI) Budget Tables</w:t>
      </w:r>
      <w:r>
        <w:rPr>
          <w:rFonts w:cs="Aptos"/>
          <w:color w:val="000000"/>
          <w:szCs w:val="22"/>
        </w:rPr>
        <w:t xml:space="preserve"> show that in 2023-23, the Government will be delivering 160 R&amp;D programs. This is down from the 182</w:t>
      </w:r>
      <w:r w:rsidR="00D85049">
        <w:rPr>
          <w:rFonts w:cs="Aptos"/>
          <w:color w:val="000000"/>
          <w:szCs w:val="22"/>
        </w:rPr>
        <w:t xml:space="preserve"> </w:t>
      </w:r>
      <w:r>
        <w:rPr>
          <w:rFonts w:cs="Aptos"/>
          <w:color w:val="000000"/>
          <w:szCs w:val="22"/>
        </w:rPr>
        <w:t>reached in 2016-17. Longer-term trends in the number of programs are shown</w:t>
      </w:r>
      <w:r>
        <w:rPr>
          <w:rFonts w:eastAsia="Aptos"/>
        </w:rPr>
        <w:t xml:space="preserve"> in </w:t>
      </w:r>
      <w:r>
        <w:rPr>
          <w:rFonts w:eastAsia="Aptos"/>
        </w:rPr>
        <w:fldChar w:fldCharType="begin"/>
      </w:r>
      <w:r>
        <w:rPr>
          <w:rFonts w:eastAsia="Aptos"/>
        </w:rPr>
        <w:instrText xml:space="preserve"> REF _Ref159380581 \h </w:instrText>
      </w:r>
      <w:r>
        <w:rPr>
          <w:rFonts w:eastAsia="Aptos"/>
        </w:rPr>
      </w:r>
      <w:r>
        <w:rPr>
          <w:rFonts w:eastAsia="Aptos"/>
        </w:rPr>
        <w:fldChar w:fldCharType="separate"/>
      </w:r>
      <w:r w:rsidR="00875974">
        <w:t xml:space="preserve">Figure </w:t>
      </w:r>
      <w:r w:rsidR="00875974">
        <w:rPr>
          <w:noProof/>
        </w:rPr>
        <w:t>6</w:t>
      </w:r>
      <w:r>
        <w:rPr>
          <w:rFonts w:eastAsia="Aptos"/>
        </w:rPr>
        <w:fldChar w:fldCharType="end"/>
      </w:r>
      <w:r>
        <w:rPr>
          <w:rFonts w:eastAsia="Aptos"/>
        </w:rPr>
        <w:t xml:space="preserve">. </w:t>
      </w:r>
    </w:p>
    <w:p w14:paraId="06AB69CD" w14:textId="5FA457CF" w:rsidR="001B38AE" w:rsidRDefault="001B38AE" w:rsidP="001B38AE">
      <w:pPr>
        <w:pStyle w:val="Caption"/>
        <w:keepNext/>
        <w:spacing w:before="0" w:after="0"/>
      </w:pPr>
      <w:bookmarkStart w:id="26" w:name="_Ref159380581"/>
      <w:bookmarkStart w:id="27" w:name="_Toc160445134"/>
      <w:r>
        <w:lastRenderedPageBreak/>
        <w:t xml:space="preserve">Figure </w:t>
      </w:r>
      <w:r w:rsidR="00157FCC">
        <w:fldChar w:fldCharType="begin"/>
      </w:r>
      <w:r w:rsidR="00157FCC">
        <w:instrText xml:space="preserve"> SEQ Figure \* ARABIC </w:instrText>
      </w:r>
      <w:r w:rsidR="00157FCC">
        <w:fldChar w:fldCharType="separate"/>
      </w:r>
      <w:r w:rsidR="00875974">
        <w:rPr>
          <w:noProof/>
        </w:rPr>
        <w:t>6</w:t>
      </w:r>
      <w:r w:rsidR="00157FCC">
        <w:fldChar w:fldCharType="end"/>
      </w:r>
      <w:bookmarkEnd w:id="26"/>
      <w:r>
        <w:t xml:space="preserve">: </w:t>
      </w:r>
      <w:r w:rsidRPr="007E5EB4">
        <w:t xml:space="preserve">Count of </w:t>
      </w:r>
      <w:r>
        <w:t xml:space="preserve">Government R&amp;D </w:t>
      </w:r>
      <w:r w:rsidRPr="007E5EB4">
        <w:t>programs/activities</w:t>
      </w:r>
      <w:r>
        <w:t xml:space="preserve"> (number)</w:t>
      </w:r>
      <w:bookmarkEnd w:id="27"/>
    </w:p>
    <w:p w14:paraId="790699F0" w14:textId="77777777" w:rsidR="001B38AE" w:rsidRDefault="001B38AE" w:rsidP="001B38AE">
      <w:pPr>
        <w:spacing w:before="0" w:after="0"/>
        <w:jc w:val="center"/>
        <w:rPr>
          <w:rFonts w:eastAsia="Aptos"/>
        </w:rPr>
      </w:pPr>
      <w:r>
        <w:rPr>
          <w:noProof/>
          <w14:ligatures w14:val="standardContextual"/>
        </w:rPr>
        <w:drawing>
          <wp:inline distT="0" distB="0" distL="0" distR="0" wp14:anchorId="02A8B120" wp14:editId="1C9FBB9F">
            <wp:extent cx="4752000" cy="2102400"/>
            <wp:effectExtent l="12700" t="12700" r="10795" b="19050"/>
            <wp:docPr id="1300923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923683" name=""/>
                    <pic:cNvPicPr/>
                  </pic:nvPicPr>
                  <pic:blipFill>
                    <a:blip r:embed="rId21"/>
                    <a:stretch>
                      <a:fillRect/>
                    </a:stretch>
                  </pic:blipFill>
                  <pic:spPr>
                    <a:xfrm>
                      <a:off x="0" y="0"/>
                      <a:ext cx="4752000" cy="2102400"/>
                    </a:xfrm>
                    <a:prstGeom prst="rect">
                      <a:avLst/>
                    </a:prstGeom>
                    <a:ln>
                      <a:solidFill>
                        <a:schemeClr val="accent1"/>
                      </a:solidFill>
                    </a:ln>
                  </pic:spPr>
                </pic:pic>
              </a:graphicData>
            </a:graphic>
          </wp:inline>
        </w:drawing>
      </w:r>
    </w:p>
    <w:p w14:paraId="0D4C7C6F" w14:textId="77777777" w:rsidR="001B38AE" w:rsidRPr="007E5EB4" w:rsidRDefault="001B38AE" w:rsidP="001B38AE">
      <w:pPr>
        <w:spacing w:before="0" w:after="0"/>
        <w:ind w:firstLine="720"/>
        <w:rPr>
          <w:rFonts w:eastAsia="Aptos"/>
          <w:sz w:val="16"/>
          <w:szCs w:val="16"/>
        </w:rPr>
      </w:pPr>
      <w:r w:rsidRPr="007E5EB4">
        <w:rPr>
          <w:rFonts w:eastAsia="Aptos"/>
          <w:sz w:val="16"/>
          <w:szCs w:val="16"/>
        </w:rPr>
        <w:t>Source: SRI Budget Tables</w:t>
      </w:r>
    </w:p>
    <w:p w14:paraId="4A4E65B2" w14:textId="77777777" w:rsidR="001B38AE" w:rsidRDefault="001B38AE" w:rsidP="001B38AE">
      <w:pPr>
        <w:rPr>
          <w:rFonts w:eastAsia="Aptos"/>
        </w:rPr>
      </w:pPr>
      <w:r>
        <w:rPr>
          <w:rFonts w:eastAsia="Aptos"/>
        </w:rPr>
        <w:t xml:space="preserve">The SRI Tables also report that in 2023-24, the proportion of large programs accounted for 90% of total investment, the medium ones seven per cent, the small ones three per cent and the very small ones only 0.2%. </w:t>
      </w:r>
    </w:p>
    <w:p w14:paraId="3CA0406C" w14:textId="332DD935" w:rsidR="001B38AE" w:rsidRDefault="001B38AE" w:rsidP="001B38AE">
      <w:pPr>
        <w:rPr>
          <w:rFonts w:cs="Aptos"/>
          <w:color w:val="000000"/>
          <w:szCs w:val="22"/>
        </w:rPr>
      </w:pPr>
      <w:r>
        <w:rPr>
          <w:rFonts w:cs="Aptos"/>
          <w:color w:val="000000"/>
          <w:szCs w:val="22"/>
        </w:rPr>
        <w:t xml:space="preserve">Within this overabundance of programs, the </w:t>
      </w:r>
      <w:r w:rsidRPr="00FF747F">
        <w:rPr>
          <w:rFonts w:cs="Aptos"/>
          <w:i/>
          <w:iCs/>
          <w:color w:val="000000"/>
          <w:szCs w:val="22"/>
        </w:rPr>
        <w:t>SR</w:t>
      </w:r>
      <w:r>
        <w:rPr>
          <w:rFonts w:cs="Aptos"/>
          <w:i/>
          <w:iCs/>
          <w:color w:val="000000"/>
          <w:szCs w:val="22"/>
        </w:rPr>
        <w:t>I</w:t>
      </w:r>
      <w:r w:rsidRPr="00FF747F">
        <w:rPr>
          <w:rFonts w:cs="Aptos"/>
          <w:i/>
          <w:iCs/>
          <w:color w:val="000000"/>
          <w:szCs w:val="22"/>
        </w:rPr>
        <w:t xml:space="preserve"> Budget Tables</w:t>
      </w:r>
      <w:r>
        <w:rPr>
          <w:rFonts w:cs="Aptos"/>
          <w:color w:val="000000"/>
          <w:szCs w:val="22"/>
        </w:rPr>
        <w:t xml:space="preserve"> indicate what would appear to be a very uneven distribution of resources among investment priorities, with some showing very substantial increases in 2023-24. The distribution of investment in programs is shown in Table 1.</w:t>
      </w:r>
      <w:r w:rsidR="00D85049">
        <w:rPr>
          <w:rFonts w:cs="Aptos"/>
          <w:color w:val="000000"/>
          <w:szCs w:val="22"/>
        </w:rPr>
        <w:t xml:space="preserve"> </w:t>
      </w:r>
      <w:r>
        <w:rPr>
          <w:rFonts w:cs="Aptos"/>
          <w:color w:val="000000"/>
          <w:szCs w:val="22"/>
        </w:rPr>
        <w:t>Also shown is the proportion of each program in the total investment.</w:t>
      </w:r>
      <w:r w:rsidR="00D85049">
        <w:rPr>
          <w:rFonts w:cs="Aptos"/>
          <w:color w:val="000000"/>
          <w:szCs w:val="22"/>
        </w:rPr>
        <w:t xml:space="preserve"> </w:t>
      </w:r>
    </w:p>
    <w:p w14:paraId="6AD43225" w14:textId="2BE9B1BB" w:rsidR="001B38AE" w:rsidRDefault="001B38AE" w:rsidP="001B38AE">
      <w:pPr>
        <w:pStyle w:val="Caption"/>
        <w:keepNext/>
        <w:spacing w:before="0" w:after="0"/>
        <w:contextualSpacing/>
      </w:pPr>
      <w:bookmarkStart w:id="28" w:name="_Ref160443801"/>
      <w:r>
        <w:t xml:space="preserve">Table </w:t>
      </w:r>
      <w:r w:rsidR="00000000">
        <w:fldChar w:fldCharType="begin"/>
      </w:r>
      <w:r w:rsidR="00000000">
        <w:instrText xml:space="preserve"> SEQ Table \* ARABIC </w:instrText>
      </w:r>
      <w:r w:rsidR="00000000">
        <w:fldChar w:fldCharType="separate"/>
      </w:r>
      <w:r w:rsidR="00875974">
        <w:rPr>
          <w:noProof/>
        </w:rPr>
        <w:t>2</w:t>
      </w:r>
      <w:r w:rsidR="00000000">
        <w:rPr>
          <w:noProof/>
        </w:rPr>
        <w:fldChar w:fldCharType="end"/>
      </w:r>
      <w:bookmarkEnd w:id="28"/>
      <w:r>
        <w:t>: Australian Government R&amp;D programs and activities valued at over $100 million in 2022-23 to 2023-24 ($m current prices)</w:t>
      </w:r>
    </w:p>
    <w:tbl>
      <w:tblPr>
        <w:tblStyle w:val="PlainTable2"/>
        <w:tblW w:w="5000" w:type="pct"/>
        <w:tblLook w:val="0620" w:firstRow="1" w:lastRow="0" w:firstColumn="0" w:lastColumn="0" w:noHBand="1" w:noVBand="1"/>
      </w:tblPr>
      <w:tblGrid>
        <w:gridCol w:w="5094"/>
        <w:gridCol w:w="960"/>
        <w:gridCol w:w="1048"/>
        <w:gridCol w:w="974"/>
        <w:gridCol w:w="945"/>
      </w:tblGrid>
      <w:tr w:rsidR="001B38AE" w:rsidRPr="00275319" w14:paraId="54116371" w14:textId="77777777" w:rsidTr="00432008">
        <w:trPr>
          <w:cnfStyle w:val="100000000000" w:firstRow="1" w:lastRow="0" w:firstColumn="0" w:lastColumn="0" w:oddVBand="0" w:evenVBand="0" w:oddHBand="0" w:evenHBand="0" w:firstRowFirstColumn="0" w:firstRowLastColumn="0" w:lastRowFirstColumn="0" w:lastRowLastColumn="0"/>
          <w:tblHeader/>
        </w:trPr>
        <w:tc>
          <w:tcPr>
            <w:tcW w:w="2823" w:type="pct"/>
            <w:vAlign w:val="center"/>
          </w:tcPr>
          <w:p w14:paraId="69949725"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Program / Activity </w:t>
            </w:r>
          </w:p>
        </w:tc>
        <w:tc>
          <w:tcPr>
            <w:tcW w:w="532" w:type="pct"/>
            <w:vAlign w:val="center"/>
          </w:tcPr>
          <w:p w14:paraId="04776141" w14:textId="77777777" w:rsidR="001B38AE" w:rsidRDefault="001B38AE" w:rsidP="00432008">
            <w:pPr>
              <w:autoSpaceDE w:val="0"/>
              <w:autoSpaceDN w:val="0"/>
              <w:adjustRightInd w:val="0"/>
              <w:spacing w:before="0" w:after="0"/>
              <w:jc w:val="center"/>
              <w:rPr>
                <w:rFonts w:eastAsiaTheme="minorHAnsi" w:cs="Arial"/>
                <w:color w:val="000000"/>
                <w:sz w:val="16"/>
                <w:szCs w:val="16"/>
                <w:lang w:val="en-GB" w:eastAsia="en-US"/>
                <w14:ligatures w14:val="standardContextual"/>
              </w:rPr>
            </w:pPr>
            <w:r w:rsidRPr="001F1ED7">
              <w:rPr>
                <w:rFonts w:eastAsiaTheme="minorHAnsi" w:cs="Arial"/>
                <w:b w:val="0"/>
                <w:bCs w:val="0"/>
                <w:color w:val="000000"/>
                <w:sz w:val="16"/>
                <w:szCs w:val="16"/>
                <w:lang w:val="en-GB" w:eastAsia="en-US"/>
                <w14:ligatures w14:val="standardContextual"/>
              </w:rPr>
              <w:t>Estimated Actual</w:t>
            </w:r>
          </w:p>
          <w:p w14:paraId="72DAA2EC" w14:textId="77777777" w:rsidR="001B38AE" w:rsidRPr="00275319" w:rsidRDefault="001B38AE" w:rsidP="00432008">
            <w:pPr>
              <w:autoSpaceDE w:val="0"/>
              <w:autoSpaceDN w:val="0"/>
              <w:adjustRightInd w:val="0"/>
              <w:spacing w:before="0" w:after="0"/>
              <w:jc w:val="center"/>
              <w:rPr>
                <w:rFonts w:eastAsiaTheme="minorHAnsi" w:cs="Arial"/>
                <w:color w:val="000000"/>
                <w:sz w:val="16"/>
                <w:szCs w:val="16"/>
                <w:lang w:val="en-GB" w:eastAsia="en-US"/>
                <w14:ligatures w14:val="standardContextual"/>
              </w:rPr>
            </w:pPr>
            <w:r w:rsidRPr="001F1ED7">
              <w:rPr>
                <w:rFonts w:eastAsiaTheme="minorHAnsi" w:cs="Arial"/>
                <w:b w:val="0"/>
                <w:bCs w:val="0"/>
                <w:color w:val="000000"/>
                <w:sz w:val="16"/>
                <w:szCs w:val="16"/>
                <w:lang w:val="en-GB" w:eastAsia="en-US"/>
                <w14:ligatures w14:val="standardContextual"/>
              </w:rPr>
              <w:t>2022-23</w:t>
            </w:r>
          </w:p>
        </w:tc>
        <w:tc>
          <w:tcPr>
            <w:tcW w:w="581" w:type="pct"/>
            <w:vAlign w:val="center"/>
          </w:tcPr>
          <w:p w14:paraId="48A92D4C" w14:textId="77777777" w:rsidR="001B38AE" w:rsidRDefault="001B38AE" w:rsidP="00432008">
            <w:pPr>
              <w:autoSpaceDE w:val="0"/>
              <w:autoSpaceDN w:val="0"/>
              <w:adjustRightInd w:val="0"/>
              <w:spacing w:before="0" w:after="0"/>
              <w:jc w:val="center"/>
              <w:rPr>
                <w:rFonts w:eastAsiaTheme="minorHAnsi" w:cs="Arial"/>
                <w:color w:val="000000"/>
                <w:sz w:val="16"/>
                <w:szCs w:val="16"/>
                <w:lang w:val="en-GB" w:eastAsia="en-US"/>
                <w14:ligatures w14:val="standardContextual"/>
              </w:rPr>
            </w:pPr>
            <w:r w:rsidRPr="001F1ED7">
              <w:rPr>
                <w:rFonts w:eastAsiaTheme="minorHAnsi" w:cs="Arial"/>
                <w:b w:val="0"/>
                <w:bCs w:val="0"/>
                <w:color w:val="000000"/>
                <w:sz w:val="16"/>
                <w:szCs w:val="16"/>
                <w:lang w:val="en-GB" w:eastAsia="en-US"/>
                <w14:ligatures w14:val="standardContextual"/>
              </w:rPr>
              <w:t>Budget Estimate</w:t>
            </w:r>
          </w:p>
          <w:p w14:paraId="1D3B964D" w14:textId="77777777" w:rsidR="001B38AE" w:rsidRPr="00275319" w:rsidRDefault="001B38AE" w:rsidP="00432008">
            <w:pPr>
              <w:autoSpaceDE w:val="0"/>
              <w:autoSpaceDN w:val="0"/>
              <w:adjustRightInd w:val="0"/>
              <w:spacing w:before="0" w:after="0"/>
              <w:jc w:val="center"/>
              <w:rPr>
                <w:rFonts w:eastAsiaTheme="minorHAnsi" w:cs="Arial"/>
                <w:color w:val="000000"/>
                <w:sz w:val="16"/>
                <w:szCs w:val="16"/>
                <w:lang w:val="en-GB" w:eastAsia="en-US"/>
                <w14:ligatures w14:val="standardContextual"/>
              </w:rPr>
            </w:pPr>
            <w:r w:rsidRPr="001F1ED7">
              <w:rPr>
                <w:rFonts w:eastAsiaTheme="minorHAnsi" w:cs="Arial"/>
                <w:b w:val="0"/>
                <w:bCs w:val="0"/>
                <w:color w:val="000000"/>
                <w:sz w:val="16"/>
                <w:szCs w:val="16"/>
                <w:lang w:val="en-GB" w:eastAsia="en-US"/>
                <w14:ligatures w14:val="standardContextual"/>
              </w:rPr>
              <w:t>2023-24</w:t>
            </w:r>
          </w:p>
        </w:tc>
        <w:tc>
          <w:tcPr>
            <w:tcW w:w="540" w:type="pct"/>
            <w:vAlign w:val="center"/>
          </w:tcPr>
          <w:p w14:paraId="1201CBB6" w14:textId="77777777" w:rsidR="001B38AE" w:rsidRPr="00275319" w:rsidRDefault="001B38AE" w:rsidP="00432008">
            <w:pPr>
              <w:autoSpaceDE w:val="0"/>
              <w:autoSpaceDN w:val="0"/>
              <w:adjustRightInd w:val="0"/>
              <w:spacing w:before="0" w:after="0"/>
              <w:jc w:val="center"/>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Increase 2022-23 to 2023-24</w:t>
            </w:r>
          </w:p>
        </w:tc>
        <w:tc>
          <w:tcPr>
            <w:tcW w:w="524" w:type="pct"/>
            <w:vAlign w:val="center"/>
          </w:tcPr>
          <w:p w14:paraId="69F0C062" w14:textId="77777777" w:rsidR="001B38AE" w:rsidRPr="00275319" w:rsidRDefault="001B38AE" w:rsidP="00432008">
            <w:pPr>
              <w:autoSpaceDE w:val="0"/>
              <w:autoSpaceDN w:val="0"/>
              <w:adjustRightInd w:val="0"/>
              <w:spacing w:before="0" w:after="0"/>
              <w:jc w:val="center"/>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Percent of Total 2023-24</w:t>
            </w:r>
          </w:p>
        </w:tc>
      </w:tr>
      <w:tr w:rsidR="001B38AE" w:rsidRPr="00275319" w14:paraId="760479E0" w14:textId="77777777" w:rsidTr="00432008">
        <w:tc>
          <w:tcPr>
            <w:tcW w:w="2823" w:type="pct"/>
          </w:tcPr>
          <w:p w14:paraId="3A20B8D9"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Research Tax Incentives </w:t>
            </w:r>
          </w:p>
        </w:tc>
        <w:tc>
          <w:tcPr>
            <w:tcW w:w="532" w:type="pct"/>
          </w:tcPr>
          <w:p w14:paraId="14602BA9" w14:textId="16C8B03C" w:rsidR="001B38AE" w:rsidRPr="00275319" w:rsidRDefault="00D85049"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Pr>
                <w:rFonts w:eastAsiaTheme="minorHAnsi" w:cs="Arial"/>
                <w:color w:val="000000"/>
                <w:sz w:val="16"/>
                <w:szCs w:val="16"/>
                <w:lang w:val="en-GB" w:eastAsia="en-US"/>
                <w14:ligatures w14:val="standardContextual"/>
              </w:rPr>
              <w:t xml:space="preserve">    </w:t>
            </w:r>
            <w:r w:rsidR="001B38AE" w:rsidRPr="00275319">
              <w:rPr>
                <w:rFonts w:eastAsiaTheme="minorHAnsi" w:cs="Arial"/>
                <w:color w:val="000000"/>
                <w:sz w:val="16"/>
                <w:szCs w:val="16"/>
                <w:lang w:val="en-GB" w:eastAsia="en-US"/>
                <w14:ligatures w14:val="standardContextual"/>
              </w:rPr>
              <w:t xml:space="preserve">  3,276 </w:t>
            </w:r>
          </w:p>
        </w:tc>
        <w:tc>
          <w:tcPr>
            <w:tcW w:w="581" w:type="pct"/>
          </w:tcPr>
          <w:p w14:paraId="4877A92B"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3,365 </w:t>
            </w:r>
          </w:p>
        </w:tc>
        <w:tc>
          <w:tcPr>
            <w:tcW w:w="540" w:type="pct"/>
          </w:tcPr>
          <w:p w14:paraId="31A1A7FF"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2.7%</w:t>
            </w:r>
          </w:p>
        </w:tc>
        <w:tc>
          <w:tcPr>
            <w:tcW w:w="524" w:type="pct"/>
          </w:tcPr>
          <w:p w14:paraId="21B69F28"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26.7%</w:t>
            </w:r>
          </w:p>
        </w:tc>
      </w:tr>
      <w:tr w:rsidR="001B38AE" w:rsidRPr="00275319" w14:paraId="7A4696B8" w14:textId="77777777" w:rsidTr="00432008">
        <w:tc>
          <w:tcPr>
            <w:tcW w:w="2823" w:type="pct"/>
          </w:tcPr>
          <w:p w14:paraId="24C476FF"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University Block Grants </w:t>
            </w:r>
          </w:p>
        </w:tc>
        <w:tc>
          <w:tcPr>
            <w:tcW w:w="532" w:type="pct"/>
          </w:tcPr>
          <w:p w14:paraId="2015C86A"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2,044 </w:t>
            </w:r>
          </w:p>
        </w:tc>
        <w:tc>
          <w:tcPr>
            <w:tcW w:w="581" w:type="pct"/>
          </w:tcPr>
          <w:p w14:paraId="7EB651B0"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2,160 </w:t>
            </w:r>
          </w:p>
        </w:tc>
        <w:tc>
          <w:tcPr>
            <w:tcW w:w="540" w:type="pct"/>
          </w:tcPr>
          <w:p w14:paraId="3368BC35"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5.7%</w:t>
            </w:r>
          </w:p>
        </w:tc>
        <w:tc>
          <w:tcPr>
            <w:tcW w:w="524" w:type="pct"/>
          </w:tcPr>
          <w:p w14:paraId="54090D0D"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17.1%</w:t>
            </w:r>
          </w:p>
        </w:tc>
      </w:tr>
      <w:tr w:rsidR="001B38AE" w:rsidRPr="00275319" w14:paraId="4901D3F8" w14:textId="77777777" w:rsidTr="00432008">
        <w:tc>
          <w:tcPr>
            <w:tcW w:w="2823" w:type="pct"/>
          </w:tcPr>
          <w:p w14:paraId="0110F95F"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CSIRO </w:t>
            </w:r>
          </w:p>
        </w:tc>
        <w:tc>
          <w:tcPr>
            <w:tcW w:w="532" w:type="pct"/>
          </w:tcPr>
          <w:p w14:paraId="033B73FA"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991 </w:t>
            </w:r>
          </w:p>
        </w:tc>
        <w:tc>
          <w:tcPr>
            <w:tcW w:w="581" w:type="pct"/>
          </w:tcPr>
          <w:p w14:paraId="1ADCF5B8"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1,009 </w:t>
            </w:r>
          </w:p>
        </w:tc>
        <w:tc>
          <w:tcPr>
            <w:tcW w:w="540" w:type="pct"/>
          </w:tcPr>
          <w:p w14:paraId="29CB6627"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1.8%</w:t>
            </w:r>
          </w:p>
        </w:tc>
        <w:tc>
          <w:tcPr>
            <w:tcW w:w="524" w:type="pct"/>
          </w:tcPr>
          <w:p w14:paraId="7B1AAA3D"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8.0%</w:t>
            </w:r>
          </w:p>
        </w:tc>
      </w:tr>
      <w:tr w:rsidR="001B38AE" w:rsidRPr="00275319" w14:paraId="2C925CC1" w14:textId="77777777" w:rsidTr="00432008">
        <w:tc>
          <w:tcPr>
            <w:tcW w:w="2823" w:type="pct"/>
          </w:tcPr>
          <w:p w14:paraId="662D9F3E"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NHMRC Research Grants </w:t>
            </w:r>
          </w:p>
        </w:tc>
        <w:tc>
          <w:tcPr>
            <w:tcW w:w="532" w:type="pct"/>
          </w:tcPr>
          <w:p w14:paraId="7F42F8AB"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898 </w:t>
            </w:r>
          </w:p>
        </w:tc>
        <w:tc>
          <w:tcPr>
            <w:tcW w:w="581" w:type="pct"/>
          </w:tcPr>
          <w:p w14:paraId="474AAE95"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946 </w:t>
            </w:r>
          </w:p>
        </w:tc>
        <w:tc>
          <w:tcPr>
            <w:tcW w:w="540" w:type="pct"/>
          </w:tcPr>
          <w:p w14:paraId="17186AB7"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5.3%</w:t>
            </w:r>
          </w:p>
        </w:tc>
        <w:tc>
          <w:tcPr>
            <w:tcW w:w="524" w:type="pct"/>
          </w:tcPr>
          <w:p w14:paraId="1EC2A721"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7.5%</w:t>
            </w:r>
          </w:p>
        </w:tc>
      </w:tr>
      <w:tr w:rsidR="001B38AE" w:rsidRPr="00275319" w14:paraId="629BAD32" w14:textId="77777777" w:rsidTr="00432008">
        <w:tc>
          <w:tcPr>
            <w:tcW w:w="2823" w:type="pct"/>
          </w:tcPr>
          <w:p w14:paraId="05FD21B2"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Australian Research Council (ARC) - National Competitive Grants </w:t>
            </w:r>
          </w:p>
        </w:tc>
        <w:tc>
          <w:tcPr>
            <w:tcW w:w="532" w:type="pct"/>
          </w:tcPr>
          <w:p w14:paraId="5B026B60"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832 </w:t>
            </w:r>
          </w:p>
        </w:tc>
        <w:tc>
          <w:tcPr>
            <w:tcW w:w="581" w:type="pct"/>
          </w:tcPr>
          <w:p w14:paraId="06DE272F"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900 </w:t>
            </w:r>
          </w:p>
        </w:tc>
        <w:tc>
          <w:tcPr>
            <w:tcW w:w="540" w:type="pct"/>
          </w:tcPr>
          <w:p w14:paraId="1391D95E"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8.2%</w:t>
            </w:r>
          </w:p>
        </w:tc>
        <w:tc>
          <w:tcPr>
            <w:tcW w:w="524" w:type="pct"/>
          </w:tcPr>
          <w:p w14:paraId="5D4CB3D4"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7.1%</w:t>
            </w:r>
          </w:p>
        </w:tc>
      </w:tr>
      <w:tr w:rsidR="001B38AE" w:rsidRPr="00275319" w14:paraId="1080B9C6" w14:textId="77777777" w:rsidTr="00432008">
        <w:tc>
          <w:tcPr>
            <w:tcW w:w="2823" w:type="pct"/>
          </w:tcPr>
          <w:p w14:paraId="0950478F"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Medical Research Future Fund  </w:t>
            </w:r>
          </w:p>
        </w:tc>
        <w:tc>
          <w:tcPr>
            <w:tcW w:w="532" w:type="pct"/>
          </w:tcPr>
          <w:p w14:paraId="67D5FE1B"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598 </w:t>
            </w:r>
          </w:p>
        </w:tc>
        <w:tc>
          <w:tcPr>
            <w:tcW w:w="581" w:type="pct"/>
          </w:tcPr>
          <w:p w14:paraId="178244C0"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650 </w:t>
            </w:r>
          </w:p>
        </w:tc>
        <w:tc>
          <w:tcPr>
            <w:tcW w:w="540" w:type="pct"/>
          </w:tcPr>
          <w:p w14:paraId="7B9445A6"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8.7%</w:t>
            </w:r>
          </w:p>
        </w:tc>
        <w:tc>
          <w:tcPr>
            <w:tcW w:w="524" w:type="pct"/>
          </w:tcPr>
          <w:p w14:paraId="0240F196"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5.2%</w:t>
            </w:r>
          </w:p>
        </w:tc>
      </w:tr>
      <w:tr w:rsidR="001B38AE" w:rsidRPr="00275319" w14:paraId="64BD0E46" w14:textId="77777777" w:rsidTr="00432008">
        <w:tc>
          <w:tcPr>
            <w:tcW w:w="2823" w:type="pct"/>
          </w:tcPr>
          <w:p w14:paraId="35638FD7"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Defence Science and Technology Group (DST Group) </w:t>
            </w:r>
          </w:p>
        </w:tc>
        <w:tc>
          <w:tcPr>
            <w:tcW w:w="532" w:type="pct"/>
          </w:tcPr>
          <w:p w14:paraId="4791EA58"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513 </w:t>
            </w:r>
          </w:p>
        </w:tc>
        <w:tc>
          <w:tcPr>
            <w:tcW w:w="581" w:type="pct"/>
          </w:tcPr>
          <w:p w14:paraId="43D8177F"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483 </w:t>
            </w:r>
          </w:p>
        </w:tc>
        <w:tc>
          <w:tcPr>
            <w:tcW w:w="540" w:type="pct"/>
          </w:tcPr>
          <w:p w14:paraId="540A41B2"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FF0000"/>
                <w:sz w:val="16"/>
                <w:szCs w:val="16"/>
                <w:lang w:val="en-GB" w:eastAsia="en-US"/>
                <w14:ligatures w14:val="standardContextual"/>
              </w:rPr>
              <w:t>-5.7%</w:t>
            </w:r>
          </w:p>
        </w:tc>
        <w:tc>
          <w:tcPr>
            <w:tcW w:w="524" w:type="pct"/>
          </w:tcPr>
          <w:p w14:paraId="28872C59"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3.8%</w:t>
            </w:r>
          </w:p>
        </w:tc>
      </w:tr>
      <w:tr w:rsidR="001B38AE" w:rsidRPr="00275319" w14:paraId="63B49AEA" w14:textId="77777777" w:rsidTr="00432008">
        <w:tc>
          <w:tcPr>
            <w:tcW w:w="2823" w:type="pct"/>
          </w:tcPr>
          <w:p w14:paraId="43D97942"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National Collaborative Research Infrastructure Strategy </w:t>
            </w:r>
          </w:p>
        </w:tc>
        <w:tc>
          <w:tcPr>
            <w:tcW w:w="532" w:type="pct"/>
          </w:tcPr>
          <w:p w14:paraId="090DAD0D"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286 </w:t>
            </w:r>
          </w:p>
        </w:tc>
        <w:tc>
          <w:tcPr>
            <w:tcW w:w="581" w:type="pct"/>
          </w:tcPr>
          <w:p w14:paraId="6CB4778E"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402 </w:t>
            </w:r>
          </w:p>
        </w:tc>
        <w:tc>
          <w:tcPr>
            <w:tcW w:w="540" w:type="pct"/>
          </w:tcPr>
          <w:p w14:paraId="625B6663"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40.6%</w:t>
            </w:r>
          </w:p>
        </w:tc>
        <w:tc>
          <w:tcPr>
            <w:tcW w:w="524" w:type="pct"/>
          </w:tcPr>
          <w:p w14:paraId="6773E211"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3.2%</w:t>
            </w:r>
          </w:p>
        </w:tc>
      </w:tr>
      <w:tr w:rsidR="001B38AE" w:rsidRPr="00275319" w14:paraId="5CA44016" w14:textId="77777777" w:rsidTr="00432008">
        <w:tc>
          <w:tcPr>
            <w:tcW w:w="2823" w:type="pct"/>
          </w:tcPr>
          <w:p w14:paraId="22A7DCB3"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Australian Renewable Energy Agency (ARENA) </w:t>
            </w:r>
          </w:p>
        </w:tc>
        <w:tc>
          <w:tcPr>
            <w:tcW w:w="532" w:type="pct"/>
          </w:tcPr>
          <w:p w14:paraId="1CCA82C4"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312 </w:t>
            </w:r>
          </w:p>
        </w:tc>
        <w:tc>
          <w:tcPr>
            <w:tcW w:w="581" w:type="pct"/>
          </w:tcPr>
          <w:p w14:paraId="20075479"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319 </w:t>
            </w:r>
          </w:p>
        </w:tc>
        <w:tc>
          <w:tcPr>
            <w:tcW w:w="540" w:type="pct"/>
          </w:tcPr>
          <w:p w14:paraId="5440736F"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2.2%</w:t>
            </w:r>
          </w:p>
        </w:tc>
        <w:tc>
          <w:tcPr>
            <w:tcW w:w="524" w:type="pct"/>
          </w:tcPr>
          <w:p w14:paraId="47993C1F"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2.5%</w:t>
            </w:r>
          </w:p>
        </w:tc>
      </w:tr>
      <w:tr w:rsidR="001B38AE" w:rsidRPr="00275319" w14:paraId="447B2728" w14:textId="77777777" w:rsidTr="00432008">
        <w:tc>
          <w:tcPr>
            <w:tcW w:w="2823" w:type="pct"/>
          </w:tcPr>
          <w:p w14:paraId="243B6921"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Australian Nuclear Science &amp; Technology Organisation (ANSTO) </w:t>
            </w:r>
          </w:p>
        </w:tc>
        <w:tc>
          <w:tcPr>
            <w:tcW w:w="532" w:type="pct"/>
          </w:tcPr>
          <w:p w14:paraId="163CE85D"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264 </w:t>
            </w:r>
          </w:p>
        </w:tc>
        <w:tc>
          <w:tcPr>
            <w:tcW w:w="581" w:type="pct"/>
          </w:tcPr>
          <w:p w14:paraId="39AAF54D"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267 </w:t>
            </w:r>
          </w:p>
        </w:tc>
        <w:tc>
          <w:tcPr>
            <w:tcW w:w="540" w:type="pct"/>
          </w:tcPr>
          <w:p w14:paraId="6E9169AE"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1.0%</w:t>
            </w:r>
          </w:p>
        </w:tc>
        <w:tc>
          <w:tcPr>
            <w:tcW w:w="524" w:type="pct"/>
          </w:tcPr>
          <w:p w14:paraId="5B9028D4"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2.1%</w:t>
            </w:r>
          </w:p>
        </w:tc>
      </w:tr>
      <w:tr w:rsidR="001B38AE" w:rsidRPr="00275319" w14:paraId="0B85C441" w14:textId="77777777" w:rsidTr="00432008">
        <w:tc>
          <w:tcPr>
            <w:tcW w:w="2823" w:type="pct"/>
          </w:tcPr>
          <w:p w14:paraId="4399F0B7"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National Institutes Program - ANU Component </w:t>
            </w:r>
          </w:p>
        </w:tc>
        <w:tc>
          <w:tcPr>
            <w:tcW w:w="532" w:type="pct"/>
          </w:tcPr>
          <w:p w14:paraId="03B46564"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217 </w:t>
            </w:r>
          </w:p>
        </w:tc>
        <w:tc>
          <w:tcPr>
            <w:tcW w:w="581" w:type="pct"/>
          </w:tcPr>
          <w:p w14:paraId="3AA256B0"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229 </w:t>
            </w:r>
          </w:p>
        </w:tc>
        <w:tc>
          <w:tcPr>
            <w:tcW w:w="540" w:type="pct"/>
          </w:tcPr>
          <w:p w14:paraId="00E481F9"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5.7%</w:t>
            </w:r>
          </w:p>
        </w:tc>
        <w:tc>
          <w:tcPr>
            <w:tcW w:w="524" w:type="pct"/>
          </w:tcPr>
          <w:p w14:paraId="595ACD60"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1.8%</w:t>
            </w:r>
          </w:p>
        </w:tc>
      </w:tr>
      <w:tr w:rsidR="001B38AE" w:rsidRPr="00275319" w14:paraId="367111C5" w14:textId="77777777" w:rsidTr="00432008">
        <w:tc>
          <w:tcPr>
            <w:tcW w:w="2823" w:type="pct"/>
          </w:tcPr>
          <w:p w14:paraId="25C6B187"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Cooperative Research Centres (CRC) Program </w:t>
            </w:r>
          </w:p>
        </w:tc>
        <w:tc>
          <w:tcPr>
            <w:tcW w:w="532" w:type="pct"/>
          </w:tcPr>
          <w:p w14:paraId="52955F8F"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199 </w:t>
            </w:r>
          </w:p>
        </w:tc>
        <w:tc>
          <w:tcPr>
            <w:tcW w:w="581" w:type="pct"/>
          </w:tcPr>
          <w:p w14:paraId="477FD0C8"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201 </w:t>
            </w:r>
          </w:p>
        </w:tc>
        <w:tc>
          <w:tcPr>
            <w:tcW w:w="540" w:type="pct"/>
          </w:tcPr>
          <w:p w14:paraId="0D796EB6"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0.6%</w:t>
            </w:r>
          </w:p>
        </w:tc>
        <w:tc>
          <w:tcPr>
            <w:tcW w:w="524" w:type="pct"/>
          </w:tcPr>
          <w:p w14:paraId="0698FEBB"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1.6%</w:t>
            </w:r>
          </w:p>
        </w:tc>
      </w:tr>
      <w:tr w:rsidR="001B38AE" w:rsidRPr="00275319" w14:paraId="74CA2F57" w14:textId="77777777" w:rsidTr="00432008">
        <w:tc>
          <w:tcPr>
            <w:tcW w:w="2823" w:type="pct"/>
          </w:tcPr>
          <w:p w14:paraId="2AC37122"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Australian Antarctic Division </w:t>
            </w:r>
          </w:p>
        </w:tc>
        <w:tc>
          <w:tcPr>
            <w:tcW w:w="532" w:type="pct"/>
          </w:tcPr>
          <w:p w14:paraId="26D7F288"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207 </w:t>
            </w:r>
          </w:p>
        </w:tc>
        <w:tc>
          <w:tcPr>
            <w:tcW w:w="581" w:type="pct"/>
          </w:tcPr>
          <w:p w14:paraId="45800254"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192 </w:t>
            </w:r>
          </w:p>
        </w:tc>
        <w:tc>
          <w:tcPr>
            <w:tcW w:w="540" w:type="pct"/>
          </w:tcPr>
          <w:p w14:paraId="5AE62FD3"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FF0000"/>
                <w:sz w:val="16"/>
                <w:szCs w:val="16"/>
                <w:lang w:val="en-GB" w:eastAsia="en-US"/>
                <w14:ligatures w14:val="standardContextual"/>
              </w:rPr>
              <w:t>-7.0%</w:t>
            </w:r>
          </w:p>
        </w:tc>
        <w:tc>
          <w:tcPr>
            <w:tcW w:w="524" w:type="pct"/>
          </w:tcPr>
          <w:p w14:paraId="4BC58D4A"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1.5%</w:t>
            </w:r>
          </w:p>
        </w:tc>
      </w:tr>
      <w:tr w:rsidR="001B38AE" w:rsidRPr="00275319" w14:paraId="04498E45" w14:textId="77777777" w:rsidTr="00432008">
        <w:tc>
          <w:tcPr>
            <w:tcW w:w="2823" w:type="pct"/>
          </w:tcPr>
          <w:p w14:paraId="0B87062F"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Australian Centre for International Agricultural Research (ACIAR) </w:t>
            </w:r>
          </w:p>
        </w:tc>
        <w:tc>
          <w:tcPr>
            <w:tcW w:w="532" w:type="pct"/>
          </w:tcPr>
          <w:p w14:paraId="5604EA00"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102 </w:t>
            </w:r>
          </w:p>
        </w:tc>
        <w:tc>
          <w:tcPr>
            <w:tcW w:w="581" w:type="pct"/>
          </w:tcPr>
          <w:p w14:paraId="1591F34B"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113 </w:t>
            </w:r>
          </w:p>
        </w:tc>
        <w:tc>
          <w:tcPr>
            <w:tcW w:w="540" w:type="pct"/>
          </w:tcPr>
          <w:p w14:paraId="1B2F504D"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10.6%</w:t>
            </w:r>
          </w:p>
        </w:tc>
        <w:tc>
          <w:tcPr>
            <w:tcW w:w="524" w:type="pct"/>
          </w:tcPr>
          <w:p w14:paraId="01285B77"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0.9%</w:t>
            </w:r>
          </w:p>
        </w:tc>
      </w:tr>
      <w:tr w:rsidR="001B38AE" w:rsidRPr="00275319" w14:paraId="162C3485" w14:textId="77777777" w:rsidTr="00432008">
        <w:tc>
          <w:tcPr>
            <w:tcW w:w="2823" w:type="pct"/>
          </w:tcPr>
          <w:p w14:paraId="14E39CBA"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Meat and Livestock Australia Limited </w:t>
            </w:r>
          </w:p>
        </w:tc>
        <w:tc>
          <w:tcPr>
            <w:tcW w:w="532" w:type="pct"/>
            <w:tcBorders>
              <w:bottom w:val="nil"/>
            </w:tcBorders>
          </w:tcPr>
          <w:p w14:paraId="7B003842"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98 </w:t>
            </w:r>
          </w:p>
        </w:tc>
        <w:tc>
          <w:tcPr>
            <w:tcW w:w="581" w:type="pct"/>
            <w:tcBorders>
              <w:bottom w:val="nil"/>
            </w:tcBorders>
          </w:tcPr>
          <w:p w14:paraId="527B2EBF"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104 </w:t>
            </w:r>
          </w:p>
        </w:tc>
        <w:tc>
          <w:tcPr>
            <w:tcW w:w="540" w:type="pct"/>
            <w:tcBorders>
              <w:bottom w:val="nil"/>
            </w:tcBorders>
          </w:tcPr>
          <w:p w14:paraId="5ABD41A8"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6.0%</w:t>
            </w:r>
          </w:p>
        </w:tc>
        <w:tc>
          <w:tcPr>
            <w:tcW w:w="524" w:type="pct"/>
            <w:tcBorders>
              <w:bottom w:val="nil"/>
            </w:tcBorders>
          </w:tcPr>
          <w:p w14:paraId="298CB5EE"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0.8%</w:t>
            </w:r>
          </w:p>
        </w:tc>
      </w:tr>
      <w:tr w:rsidR="001B38AE" w:rsidRPr="00275319" w14:paraId="794D3A2A" w14:textId="77777777" w:rsidTr="00432008">
        <w:tc>
          <w:tcPr>
            <w:tcW w:w="2823" w:type="pct"/>
          </w:tcPr>
          <w:p w14:paraId="38E7899D"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Australia's Economic Accelerator </w:t>
            </w:r>
          </w:p>
        </w:tc>
        <w:tc>
          <w:tcPr>
            <w:tcW w:w="532" w:type="pct"/>
            <w:tcBorders>
              <w:top w:val="nil"/>
              <w:bottom w:val="single" w:sz="4" w:space="0" w:color="auto"/>
            </w:tcBorders>
          </w:tcPr>
          <w:p w14:paraId="259727D3"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10 </w:t>
            </w:r>
          </w:p>
        </w:tc>
        <w:tc>
          <w:tcPr>
            <w:tcW w:w="581" w:type="pct"/>
            <w:tcBorders>
              <w:top w:val="nil"/>
              <w:bottom w:val="single" w:sz="4" w:space="0" w:color="auto"/>
            </w:tcBorders>
          </w:tcPr>
          <w:p w14:paraId="32DF90AF"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100 </w:t>
            </w:r>
          </w:p>
        </w:tc>
        <w:tc>
          <w:tcPr>
            <w:tcW w:w="540" w:type="pct"/>
            <w:tcBorders>
              <w:top w:val="nil"/>
              <w:bottom w:val="single" w:sz="4" w:space="0" w:color="auto"/>
            </w:tcBorders>
          </w:tcPr>
          <w:p w14:paraId="45BE6AE8"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p>
        </w:tc>
        <w:tc>
          <w:tcPr>
            <w:tcW w:w="524" w:type="pct"/>
            <w:tcBorders>
              <w:top w:val="nil"/>
              <w:bottom w:val="single" w:sz="4" w:space="0" w:color="auto"/>
            </w:tcBorders>
          </w:tcPr>
          <w:p w14:paraId="35181E40"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0.8%</w:t>
            </w:r>
          </w:p>
        </w:tc>
      </w:tr>
      <w:tr w:rsidR="001B38AE" w:rsidRPr="00275319" w14:paraId="58CC7DDF" w14:textId="77777777" w:rsidTr="00432008">
        <w:tc>
          <w:tcPr>
            <w:tcW w:w="2823" w:type="pct"/>
          </w:tcPr>
          <w:p w14:paraId="22BD50F3"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Pr>
                <w:rFonts w:eastAsiaTheme="minorHAnsi" w:cs="Arial"/>
                <w:color w:val="000000"/>
                <w:sz w:val="16"/>
                <w:szCs w:val="16"/>
                <w:lang w:val="en-GB" w:eastAsia="en-US"/>
                <w14:ligatures w14:val="standardContextual"/>
              </w:rPr>
              <w:t>Total over $100m</w:t>
            </w:r>
          </w:p>
        </w:tc>
        <w:tc>
          <w:tcPr>
            <w:tcW w:w="532" w:type="pct"/>
            <w:tcBorders>
              <w:top w:val="single" w:sz="4" w:space="0" w:color="auto"/>
            </w:tcBorders>
          </w:tcPr>
          <w:p w14:paraId="53D73F23"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10,848 </w:t>
            </w:r>
          </w:p>
        </w:tc>
        <w:tc>
          <w:tcPr>
            <w:tcW w:w="581" w:type="pct"/>
            <w:tcBorders>
              <w:top w:val="single" w:sz="4" w:space="0" w:color="auto"/>
            </w:tcBorders>
          </w:tcPr>
          <w:p w14:paraId="039DF8C9"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11,439 </w:t>
            </w:r>
          </w:p>
        </w:tc>
        <w:tc>
          <w:tcPr>
            <w:tcW w:w="540" w:type="pct"/>
            <w:tcBorders>
              <w:top w:val="single" w:sz="4" w:space="0" w:color="auto"/>
            </w:tcBorders>
          </w:tcPr>
          <w:p w14:paraId="5E5DED0B"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Pr>
                <w:rFonts w:eastAsiaTheme="minorHAnsi" w:cs="Arial"/>
                <w:color w:val="000000"/>
                <w:sz w:val="16"/>
                <w:szCs w:val="16"/>
                <w:lang w:val="en-GB" w:eastAsia="en-US"/>
                <w14:ligatures w14:val="standardContextual"/>
              </w:rPr>
              <w:t>5.5%</w:t>
            </w:r>
          </w:p>
        </w:tc>
        <w:tc>
          <w:tcPr>
            <w:tcW w:w="524" w:type="pct"/>
            <w:tcBorders>
              <w:top w:val="single" w:sz="4" w:space="0" w:color="auto"/>
            </w:tcBorders>
          </w:tcPr>
          <w:p w14:paraId="545B9769"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90.7%</w:t>
            </w:r>
          </w:p>
        </w:tc>
      </w:tr>
      <w:tr w:rsidR="001B38AE" w:rsidRPr="00275319" w14:paraId="2876CB4B" w14:textId="77777777" w:rsidTr="00432008">
        <w:tc>
          <w:tcPr>
            <w:tcW w:w="2823" w:type="pct"/>
            <w:tcBorders>
              <w:bottom w:val="single" w:sz="4" w:space="0" w:color="auto"/>
            </w:tcBorders>
          </w:tcPr>
          <w:p w14:paraId="3805AEFA"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Pr>
                <w:rFonts w:eastAsiaTheme="minorHAnsi" w:cs="Arial"/>
                <w:color w:val="000000"/>
                <w:sz w:val="16"/>
                <w:szCs w:val="16"/>
                <w:lang w:val="en-GB" w:eastAsia="en-US"/>
                <w14:ligatures w14:val="standardContextual"/>
              </w:rPr>
              <w:t>Other programs</w:t>
            </w:r>
          </w:p>
        </w:tc>
        <w:tc>
          <w:tcPr>
            <w:tcW w:w="532" w:type="pct"/>
            <w:tcBorders>
              <w:bottom w:val="single" w:sz="4" w:space="0" w:color="auto"/>
            </w:tcBorders>
          </w:tcPr>
          <w:p w14:paraId="4D1673ED"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1,435 </w:t>
            </w:r>
          </w:p>
        </w:tc>
        <w:tc>
          <w:tcPr>
            <w:tcW w:w="581" w:type="pct"/>
            <w:tcBorders>
              <w:bottom w:val="single" w:sz="4" w:space="0" w:color="auto"/>
            </w:tcBorders>
          </w:tcPr>
          <w:p w14:paraId="716A3365"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1,172 </w:t>
            </w:r>
          </w:p>
        </w:tc>
        <w:tc>
          <w:tcPr>
            <w:tcW w:w="540" w:type="pct"/>
            <w:tcBorders>
              <w:bottom w:val="single" w:sz="4" w:space="0" w:color="auto"/>
            </w:tcBorders>
          </w:tcPr>
          <w:p w14:paraId="1242A3E7"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FF0000"/>
                <w:sz w:val="16"/>
                <w:szCs w:val="16"/>
                <w:lang w:val="en-GB" w:eastAsia="en-US"/>
                <w14:ligatures w14:val="standardContextual"/>
              </w:rPr>
              <w:t>-18.3%</w:t>
            </w:r>
          </w:p>
        </w:tc>
        <w:tc>
          <w:tcPr>
            <w:tcW w:w="524" w:type="pct"/>
            <w:tcBorders>
              <w:bottom w:val="single" w:sz="4" w:space="0" w:color="auto"/>
            </w:tcBorders>
          </w:tcPr>
          <w:p w14:paraId="21969249"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9.3%</w:t>
            </w:r>
          </w:p>
        </w:tc>
      </w:tr>
      <w:tr w:rsidR="001B38AE" w:rsidRPr="00275319" w14:paraId="113C1C6F" w14:textId="77777777" w:rsidTr="00432008">
        <w:tc>
          <w:tcPr>
            <w:tcW w:w="2823" w:type="pct"/>
            <w:tcBorders>
              <w:top w:val="single" w:sz="4" w:space="0" w:color="auto"/>
              <w:bottom w:val="single" w:sz="4" w:space="0" w:color="7F7F7F" w:themeColor="text1" w:themeTint="80"/>
            </w:tcBorders>
          </w:tcPr>
          <w:p w14:paraId="7061CEBD" w14:textId="77777777" w:rsidR="001B38AE" w:rsidRPr="00275319" w:rsidRDefault="001B38AE" w:rsidP="00432008">
            <w:pPr>
              <w:autoSpaceDE w:val="0"/>
              <w:autoSpaceDN w:val="0"/>
              <w:adjustRightInd w:val="0"/>
              <w:spacing w:before="0" w:after="0"/>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Total </w:t>
            </w:r>
          </w:p>
        </w:tc>
        <w:tc>
          <w:tcPr>
            <w:tcW w:w="532" w:type="pct"/>
            <w:tcBorders>
              <w:top w:val="single" w:sz="4" w:space="0" w:color="auto"/>
              <w:bottom w:val="single" w:sz="4" w:space="0" w:color="7F7F7F" w:themeColor="text1" w:themeTint="80"/>
            </w:tcBorders>
          </w:tcPr>
          <w:p w14:paraId="73452856"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12,282</w:t>
            </w:r>
          </w:p>
        </w:tc>
        <w:tc>
          <w:tcPr>
            <w:tcW w:w="581" w:type="pct"/>
            <w:tcBorders>
              <w:top w:val="single" w:sz="4" w:space="0" w:color="auto"/>
              <w:bottom w:val="single" w:sz="4" w:space="0" w:color="7F7F7F" w:themeColor="text1" w:themeTint="80"/>
            </w:tcBorders>
          </w:tcPr>
          <w:p w14:paraId="3F2958DD"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 xml:space="preserve">          12,611 </w:t>
            </w:r>
          </w:p>
        </w:tc>
        <w:tc>
          <w:tcPr>
            <w:tcW w:w="540" w:type="pct"/>
            <w:tcBorders>
              <w:top w:val="single" w:sz="4" w:space="0" w:color="auto"/>
              <w:bottom w:val="single" w:sz="4" w:space="0" w:color="7F7F7F" w:themeColor="text1" w:themeTint="80"/>
            </w:tcBorders>
          </w:tcPr>
          <w:p w14:paraId="3042E63C"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2.7%</w:t>
            </w:r>
          </w:p>
        </w:tc>
        <w:tc>
          <w:tcPr>
            <w:tcW w:w="524" w:type="pct"/>
            <w:tcBorders>
              <w:top w:val="single" w:sz="4" w:space="0" w:color="auto"/>
              <w:bottom w:val="single" w:sz="4" w:space="0" w:color="7F7F7F" w:themeColor="text1" w:themeTint="80"/>
            </w:tcBorders>
          </w:tcPr>
          <w:p w14:paraId="11875E5F" w14:textId="77777777" w:rsidR="001B38AE" w:rsidRPr="00275319" w:rsidRDefault="001B38AE" w:rsidP="00432008">
            <w:pPr>
              <w:autoSpaceDE w:val="0"/>
              <w:autoSpaceDN w:val="0"/>
              <w:adjustRightInd w:val="0"/>
              <w:spacing w:before="0" w:after="0"/>
              <w:jc w:val="right"/>
              <w:rPr>
                <w:rFonts w:eastAsiaTheme="minorHAnsi" w:cs="Arial"/>
                <w:color w:val="000000"/>
                <w:sz w:val="16"/>
                <w:szCs w:val="16"/>
                <w:lang w:val="en-GB" w:eastAsia="en-US"/>
                <w14:ligatures w14:val="standardContextual"/>
              </w:rPr>
            </w:pPr>
            <w:r w:rsidRPr="00275319">
              <w:rPr>
                <w:rFonts w:eastAsiaTheme="minorHAnsi" w:cs="Arial"/>
                <w:color w:val="000000"/>
                <w:sz w:val="16"/>
                <w:szCs w:val="16"/>
                <w:lang w:val="en-GB" w:eastAsia="en-US"/>
                <w14:ligatures w14:val="standardContextual"/>
              </w:rPr>
              <w:t>100.0%</w:t>
            </w:r>
          </w:p>
        </w:tc>
      </w:tr>
    </w:tbl>
    <w:p w14:paraId="4A1B9176" w14:textId="77777777" w:rsidR="001B38AE" w:rsidRPr="005B2CCD" w:rsidRDefault="001B38AE" w:rsidP="001B38AE">
      <w:pPr>
        <w:spacing w:before="0" w:after="0"/>
        <w:contextualSpacing/>
        <w:rPr>
          <w:rFonts w:cs="Aptos"/>
          <w:color w:val="000000"/>
          <w:sz w:val="16"/>
          <w:szCs w:val="16"/>
        </w:rPr>
      </w:pPr>
      <w:r w:rsidRPr="005B2CCD">
        <w:rPr>
          <w:rFonts w:cs="Aptos"/>
          <w:color w:val="000000"/>
          <w:sz w:val="16"/>
          <w:szCs w:val="16"/>
        </w:rPr>
        <w:t>Source: SRI Budget Tables</w:t>
      </w:r>
      <w:r>
        <w:rPr>
          <w:rFonts w:cs="Aptos"/>
          <w:color w:val="000000"/>
          <w:sz w:val="16"/>
          <w:szCs w:val="16"/>
        </w:rPr>
        <w:t xml:space="preserve">. </w:t>
      </w:r>
    </w:p>
    <w:p w14:paraId="34B142FB" w14:textId="08844350" w:rsidR="001B38AE" w:rsidRDefault="001B38AE" w:rsidP="001B38AE">
      <w:pPr>
        <w:rPr>
          <w:rFonts w:eastAsia="Aptos"/>
          <w:szCs w:val="22"/>
        </w:rPr>
      </w:pPr>
      <w:r>
        <w:rPr>
          <w:rFonts w:eastAsia="Aptos"/>
          <w:szCs w:val="22"/>
        </w:rPr>
        <w:t xml:space="preserve">The </w:t>
      </w:r>
      <w:r w:rsidRPr="00401D28">
        <w:rPr>
          <w:rFonts w:eastAsia="Aptos"/>
          <w:i/>
          <w:iCs/>
          <w:szCs w:val="22"/>
        </w:rPr>
        <w:t>SRI Budget Tables</w:t>
      </w:r>
      <w:r>
        <w:rPr>
          <w:rFonts w:eastAsia="Aptos"/>
          <w:szCs w:val="22"/>
        </w:rPr>
        <w:t xml:space="preserve"> report that 173 of the 602 programs (29%) meet at least one of the nine Science and Research priorities:</w:t>
      </w:r>
      <w:r w:rsidR="00D85049">
        <w:rPr>
          <w:rFonts w:eastAsia="Aptos"/>
          <w:szCs w:val="22"/>
        </w:rPr>
        <w:t xml:space="preserve"> </w:t>
      </w:r>
      <w:r>
        <w:rPr>
          <w:rFonts w:eastAsia="Aptos"/>
          <w:szCs w:val="22"/>
        </w:rPr>
        <w:t xml:space="preserve">Seventy-three meet two or more—Food (14 programs), Soil and Water (50), Transport (13), Cybersecurity (9), Energy (28), Resources (31), Advanced Manufacturing (21), Environmental Change (61) and Health (22). Six programs meet all nine—including the ARC, CSIRO, the CRC program, and the Research and Development Tax Incentive (RDTI). </w:t>
      </w:r>
    </w:p>
    <w:p w14:paraId="0F6366FC" w14:textId="718C3CB2" w:rsidR="001B38AE" w:rsidRDefault="001B38AE" w:rsidP="001B38AE">
      <w:pPr>
        <w:rPr>
          <w:rFonts w:eastAsia="Aptos"/>
          <w:szCs w:val="22"/>
        </w:rPr>
      </w:pPr>
      <w:r>
        <w:rPr>
          <w:rFonts w:eastAsia="Aptos"/>
          <w:szCs w:val="22"/>
        </w:rPr>
        <w:t xml:space="preserve">The largest 10 of the R&amp;D programs in Table 1 comprise over 83% of the total investment. The longer-term trends in these programs are shown in </w:t>
      </w:r>
      <w:r>
        <w:rPr>
          <w:rFonts w:eastAsia="Aptos"/>
          <w:szCs w:val="22"/>
        </w:rPr>
        <w:fldChar w:fldCharType="begin"/>
      </w:r>
      <w:r>
        <w:rPr>
          <w:rFonts w:eastAsia="Aptos"/>
          <w:szCs w:val="22"/>
        </w:rPr>
        <w:instrText xml:space="preserve"> REF _Ref160073883 \h </w:instrText>
      </w:r>
      <w:r>
        <w:rPr>
          <w:rFonts w:eastAsia="Aptos"/>
          <w:szCs w:val="22"/>
        </w:rPr>
      </w:r>
      <w:r>
        <w:rPr>
          <w:rFonts w:eastAsia="Aptos"/>
          <w:szCs w:val="22"/>
        </w:rPr>
        <w:fldChar w:fldCharType="separate"/>
      </w:r>
      <w:r w:rsidR="00875974">
        <w:t xml:space="preserve">Figure </w:t>
      </w:r>
      <w:r w:rsidR="00875974">
        <w:rPr>
          <w:noProof/>
        </w:rPr>
        <w:t>7</w:t>
      </w:r>
      <w:r>
        <w:rPr>
          <w:rFonts w:eastAsia="Aptos"/>
          <w:szCs w:val="22"/>
        </w:rPr>
        <w:fldChar w:fldCharType="end"/>
      </w:r>
      <w:r>
        <w:rPr>
          <w:rFonts w:eastAsia="Aptos"/>
          <w:szCs w:val="22"/>
        </w:rPr>
        <w:t xml:space="preserve"> below. The R&amp;D Tax Incentives have continued to dominate the distribution of investment and are virtually the same in 2023-24 as in </w:t>
      </w:r>
      <w:r>
        <w:rPr>
          <w:rFonts w:eastAsia="Aptos"/>
          <w:szCs w:val="22"/>
        </w:rPr>
        <w:lastRenderedPageBreak/>
        <w:t xml:space="preserve">2011-12. Payments had been trending down from 2013-14 following changes in eligibility arrangements but started trending up from 2020-21 with new arrangements that expanded access to SMEs. </w:t>
      </w:r>
    </w:p>
    <w:p w14:paraId="0DF84B3D" w14:textId="4A405C21" w:rsidR="001B38AE" w:rsidRDefault="001B38AE" w:rsidP="001B38AE">
      <w:pPr>
        <w:pStyle w:val="Caption"/>
        <w:keepNext/>
        <w:spacing w:before="0" w:after="0"/>
      </w:pPr>
      <w:bookmarkStart w:id="29" w:name="_Ref160073883"/>
      <w:bookmarkStart w:id="30" w:name="_Ref160443725"/>
      <w:bookmarkStart w:id="31" w:name="_Toc160445135"/>
      <w:r>
        <w:t xml:space="preserve">Figure </w:t>
      </w:r>
      <w:r w:rsidR="00157FCC">
        <w:fldChar w:fldCharType="begin"/>
      </w:r>
      <w:r w:rsidR="00157FCC">
        <w:instrText xml:space="preserve"> SEQ Figure \* ARABIC </w:instrText>
      </w:r>
      <w:r w:rsidR="00157FCC">
        <w:fldChar w:fldCharType="separate"/>
      </w:r>
      <w:r w:rsidR="00875974">
        <w:rPr>
          <w:noProof/>
        </w:rPr>
        <w:t>7</w:t>
      </w:r>
      <w:r w:rsidR="00157FCC">
        <w:fldChar w:fldCharType="end"/>
      </w:r>
      <w:bookmarkEnd w:id="29"/>
      <w:r>
        <w:t xml:space="preserve">: </w:t>
      </w:r>
      <w:r w:rsidRPr="00417E55">
        <w:t xml:space="preserve">Australian Government R&amp;D programs and activities valued at over $100 million in 2023-24 </w:t>
      </w:r>
      <w:r>
        <w:t>the ten largest programs</w:t>
      </w:r>
      <w:bookmarkEnd w:id="30"/>
      <w:bookmarkEnd w:id="31"/>
      <w:r w:rsidR="004F1F73">
        <w:t xml:space="preserve">—trend from 2011-12, </w:t>
      </w:r>
      <w:r w:rsidR="004F1F73" w:rsidRPr="00417E55">
        <w:t xml:space="preserve">($m </w:t>
      </w:r>
      <w:r w:rsidR="004F1F73">
        <w:t>inflation-adjusted</w:t>
      </w:r>
      <w:r w:rsidR="004F1F73" w:rsidRPr="00417E55">
        <w:t>)</w:t>
      </w:r>
    </w:p>
    <w:p w14:paraId="096B25A0" w14:textId="77777777" w:rsidR="001B38AE" w:rsidRDefault="001B38AE" w:rsidP="001B38AE">
      <w:pPr>
        <w:spacing w:before="0" w:after="0"/>
        <w:jc w:val="center"/>
        <w:rPr>
          <w:rFonts w:eastAsia="Aptos"/>
          <w:szCs w:val="22"/>
        </w:rPr>
      </w:pPr>
      <w:r>
        <w:rPr>
          <w:noProof/>
          <w14:ligatures w14:val="standardContextual"/>
        </w:rPr>
        <w:drawing>
          <wp:inline distT="0" distB="0" distL="0" distR="0" wp14:anchorId="36ED7D3A" wp14:editId="0D36D801">
            <wp:extent cx="4751070" cy="2466340"/>
            <wp:effectExtent l="12700" t="12700" r="11430" b="10160"/>
            <wp:docPr id="11856253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625349" name=""/>
                    <pic:cNvPicPr/>
                  </pic:nvPicPr>
                  <pic:blipFill>
                    <a:blip r:embed="rId22"/>
                    <a:stretch>
                      <a:fillRect/>
                    </a:stretch>
                  </pic:blipFill>
                  <pic:spPr>
                    <a:xfrm>
                      <a:off x="0" y="0"/>
                      <a:ext cx="4753317" cy="2467506"/>
                    </a:xfrm>
                    <a:prstGeom prst="rect">
                      <a:avLst/>
                    </a:prstGeom>
                    <a:ln>
                      <a:solidFill>
                        <a:schemeClr val="accent1"/>
                      </a:solidFill>
                    </a:ln>
                  </pic:spPr>
                </pic:pic>
              </a:graphicData>
            </a:graphic>
          </wp:inline>
        </w:drawing>
      </w:r>
    </w:p>
    <w:p w14:paraId="6E8F2305" w14:textId="77777777" w:rsidR="001B38AE" w:rsidRDefault="001B38AE" w:rsidP="001B38AE">
      <w:pPr>
        <w:spacing w:before="0" w:after="0"/>
        <w:ind w:firstLine="720"/>
        <w:rPr>
          <w:rFonts w:cs="Aptos"/>
          <w:color w:val="000000"/>
          <w:sz w:val="16"/>
          <w:szCs w:val="16"/>
        </w:rPr>
      </w:pPr>
      <w:r w:rsidRPr="005B2CCD">
        <w:rPr>
          <w:rFonts w:cs="Aptos"/>
          <w:color w:val="000000"/>
          <w:sz w:val="16"/>
          <w:szCs w:val="16"/>
        </w:rPr>
        <w:t>Source: SRI Budget Tables</w:t>
      </w:r>
      <w:r>
        <w:rPr>
          <w:rFonts w:cs="Aptos"/>
          <w:color w:val="000000"/>
          <w:sz w:val="16"/>
          <w:szCs w:val="16"/>
        </w:rPr>
        <w:t>.</w:t>
      </w:r>
    </w:p>
    <w:p w14:paraId="26BE9A17" w14:textId="77777777" w:rsidR="008B1A0C" w:rsidRDefault="008B1A0C" w:rsidP="008B1A0C">
      <w:pPr>
        <w:rPr>
          <w:rFonts w:eastAsia="Aptos"/>
          <w:szCs w:val="22"/>
        </w:rPr>
      </w:pPr>
      <w:r>
        <w:rPr>
          <w:rFonts w:eastAsia="Aptos"/>
          <w:szCs w:val="22"/>
        </w:rPr>
        <w:t xml:space="preserve">Investments in university block grants have also been trending downwards and have effectively “made room” for the Medical Research Future Fund and the Australian Renewable Energy Agency (ARENA). </w:t>
      </w:r>
    </w:p>
    <w:p w14:paraId="5906C0A6" w14:textId="4F791704" w:rsidR="00B0257E" w:rsidRDefault="00833474" w:rsidP="001B38AE">
      <w:pPr>
        <w:pStyle w:val="Heading2"/>
        <w:rPr>
          <w:rFonts w:eastAsia="Aptos"/>
        </w:rPr>
      </w:pPr>
      <w:bookmarkStart w:id="32" w:name="_Toc160445124"/>
      <w:r>
        <w:rPr>
          <w:rFonts w:eastAsia="Aptos"/>
        </w:rPr>
        <w:t xml:space="preserve">Socio-economic (SEO) </w:t>
      </w:r>
      <w:r w:rsidR="00B0257E">
        <w:rPr>
          <w:rFonts w:eastAsia="Aptos"/>
        </w:rPr>
        <w:t>investments in major programs</w:t>
      </w:r>
      <w:bookmarkEnd w:id="32"/>
    </w:p>
    <w:p w14:paraId="12333C66" w14:textId="51BA61B9" w:rsidR="007F180D" w:rsidRDefault="009C6F7D" w:rsidP="009C6F7D">
      <w:pPr>
        <w:rPr>
          <w:rFonts w:eastAsia="Aptos"/>
        </w:rPr>
      </w:pPr>
      <w:r>
        <w:rPr>
          <w:rFonts w:eastAsia="Aptos"/>
        </w:rPr>
        <w:t xml:space="preserve">The </w:t>
      </w:r>
      <w:r w:rsidRPr="00875974">
        <w:rPr>
          <w:rFonts w:eastAsia="Aptos"/>
          <w:i/>
          <w:iCs/>
        </w:rPr>
        <w:t>SRI Budget Tables</w:t>
      </w:r>
      <w:r>
        <w:rPr>
          <w:rFonts w:eastAsia="Aptos"/>
        </w:rPr>
        <w:t xml:space="preserve"> provide detailed information about</w:t>
      </w:r>
      <w:r w:rsidR="007F180D">
        <w:rPr>
          <w:rFonts w:eastAsia="Aptos"/>
        </w:rPr>
        <w:t xml:space="preserve"> the allocation of</w:t>
      </w:r>
      <w:r>
        <w:rPr>
          <w:rFonts w:eastAsia="Aptos"/>
        </w:rPr>
        <w:t xml:space="preserve"> R&amp;D </w:t>
      </w:r>
      <w:r w:rsidR="007F180D">
        <w:rPr>
          <w:rFonts w:eastAsia="Aptos"/>
        </w:rPr>
        <w:t xml:space="preserve">investment </w:t>
      </w:r>
      <w:r>
        <w:rPr>
          <w:rFonts w:eastAsia="Aptos"/>
        </w:rPr>
        <w:t xml:space="preserve">according to socio-economic objectives for several of the large programs </w:t>
      </w:r>
      <w:r w:rsidR="007F180D">
        <w:rPr>
          <w:rFonts w:eastAsia="Aptos"/>
        </w:rPr>
        <w:t xml:space="preserve">listed </w:t>
      </w:r>
      <w:r w:rsidR="007F180D">
        <w:rPr>
          <w:rFonts w:eastAsia="Aptos"/>
        </w:rPr>
        <w:fldChar w:fldCharType="begin"/>
      </w:r>
      <w:r w:rsidR="007F180D">
        <w:rPr>
          <w:rFonts w:eastAsia="Aptos"/>
        </w:rPr>
        <w:instrText xml:space="preserve"> REF _Ref160443801 \h </w:instrText>
      </w:r>
      <w:r w:rsidR="007F180D">
        <w:rPr>
          <w:rFonts w:eastAsia="Aptos"/>
        </w:rPr>
      </w:r>
      <w:r w:rsidR="007F180D">
        <w:rPr>
          <w:rFonts w:eastAsia="Aptos"/>
        </w:rPr>
        <w:fldChar w:fldCharType="separate"/>
      </w:r>
      <w:r w:rsidR="004F1F73">
        <w:rPr>
          <w:rFonts w:eastAsia="Aptos"/>
        </w:rPr>
        <w:t xml:space="preserve">in </w:t>
      </w:r>
      <w:r w:rsidR="00875974">
        <w:t xml:space="preserve">Table </w:t>
      </w:r>
      <w:r w:rsidR="00875974">
        <w:rPr>
          <w:noProof/>
        </w:rPr>
        <w:t>2</w:t>
      </w:r>
      <w:r w:rsidR="007F180D">
        <w:rPr>
          <w:rFonts w:eastAsia="Aptos"/>
        </w:rPr>
        <w:fldChar w:fldCharType="end"/>
      </w:r>
      <w:r w:rsidR="007F180D">
        <w:rPr>
          <w:rFonts w:eastAsia="Aptos"/>
        </w:rPr>
        <w:t xml:space="preserve"> above.  Trends are shown from </w:t>
      </w:r>
      <w:r w:rsidR="008B1A0C">
        <w:rPr>
          <w:rFonts w:eastAsia="Aptos"/>
        </w:rPr>
        <w:t>2007-08</w:t>
      </w:r>
      <w:r w:rsidR="007F180D">
        <w:rPr>
          <w:rFonts w:eastAsia="Aptos"/>
        </w:rPr>
        <w:t>, t</w:t>
      </w:r>
      <w:r w:rsidR="008B1A0C">
        <w:rPr>
          <w:rFonts w:eastAsia="Aptos"/>
        </w:rPr>
        <w:t xml:space="preserve">he onset of the </w:t>
      </w:r>
      <w:r w:rsidR="007F180D">
        <w:rPr>
          <w:rFonts w:eastAsia="Aptos"/>
        </w:rPr>
        <w:t>Global Financial Crisis (GFC)</w:t>
      </w:r>
      <w:r w:rsidR="008B1A0C">
        <w:rPr>
          <w:rFonts w:eastAsia="Aptos"/>
        </w:rPr>
        <w:t xml:space="preserve"> </w:t>
      </w:r>
      <w:r w:rsidR="007F180D">
        <w:rPr>
          <w:rFonts w:eastAsia="Aptos"/>
        </w:rPr>
        <w:t xml:space="preserve">and the collapse of business expenditure on R&amp;D. </w:t>
      </w:r>
    </w:p>
    <w:p w14:paraId="3A575DDC" w14:textId="7643E759" w:rsidR="007F180D" w:rsidRDefault="007F180D" w:rsidP="009C6F7D">
      <w:pPr>
        <w:rPr>
          <w:rFonts w:eastAsia="Aptos"/>
        </w:rPr>
      </w:pPr>
      <w:r>
        <w:rPr>
          <w:rFonts w:eastAsia="Aptos"/>
        </w:rPr>
        <w:t xml:space="preserve">These allocation investment decisions reflect decisions made by made by Ministers, program advisory councils, and the management of each organisation, and in this way, become embedded </w:t>
      </w:r>
      <w:r w:rsidR="004F1F73">
        <w:rPr>
          <w:rFonts w:eastAsia="Aptos"/>
        </w:rPr>
        <w:t>i</w:t>
      </w:r>
      <w:r>
        <w:rPr>
          <w:rFonts w:eastAsia="Aptos"/>
        </w:rPr>
        <w:t xml:space="preserve">n the </w:t>
      </w:r>
      <w:r>
        <w:rPr>
          <w:rFonts w:eastAsia="Aptos"/>
          <w:i/>
          <w:iCs/>
        </w:rPr>
        <w:t xml:space="preserve">de facto </w:t>
      </w:r>
      <w:r>
        <w:rPr>
          <w:rFonts w:eastAsia="Aptos"/>
        </w:rPr>
        <w:t xml:space="preserve">Science, Research and Innovation policy referred to on page </w:t>
      </w:r>
      <w:r>
        <w:rPr>
          <w:rFonts w:eastAsia="Aptos"/>
        </w:rPr>
        <w:fldChar w:fldCharType="begin"/>
      </w:r>
      <w:r>
        <w:rPr>
          <w:rFonts w:eastAsia="Aptos"/>
        </w:rPr>
        <w:instrText xml:space="preserve"> PAGEREF _Ref160443171 \h </w:instrText>
      </w:r>
      <w:r>
        <w:rPr>
          <w:rFonts w:eastAsia="Aptos"/>
        </w:rPr>
      </w:r>
      <w:r>
        <w:rPr>
          <w:rFonts w:eastAsia="Aptos"/>
        </w:rPr>
        <w:fldChar w:fldCharType="separate"/>
      </w:r>
      <w:r w:rsidR="00875974">
        <w:rPr>
          <w:rFonts w:eastAsia="Aptos"/>
          <w:noProof/>
        </w:rPr>
        <w:t>7</w:t>
      </w:r>
      <w:r>
        <w:rPr>
          <w:rFonts w:eastAsia="Aptos"/>
        </w:rPr>
        <w:fldChar w:fldCharType="end"/>
      </w:r>
      <w:r>
        <w:rPr>
          <w:rFonts w:eastAsia="Aptos"/>
        </w:rPr>
        <w:t xml:space="preserve"> above. </w:t>
      </w:r>
    </w:p>
    <w:p w14:paraId="0E39F01D" w14:textId="43AD38C5" w:rsidR="009C6F7D" w:rsidRPr="009C6F7D" w:rsidRDefault="007F180D" w:rsidP="009C6F7D">
      <w:pPr>
        <w:rPr>
          <w:rFonts w:eastAsia="Aptos"/>
        </w:rPr>
      </w:pPr>
      <w:r>
        <w:rPr>
          <w:rFonts w:eastAsia="Aptos"/>
        </w:rPr>
        <w:t xml:space="preserve">In some cases, such as the current Research and Tax Incentive (see page </w:t>
      </w:r>
      <w:r>
        <w:rPr>
          <w:rFonts w:eastAsia="Aptos"/>
        </w:rPr>
        <w:fldChar w:fldCharType="begin"/>
      </w:r>
      <w:r>
        <w:rPr>
          <w:rFonts w:eastAsia="Aptos"/>
        </w:rPr>
        <w:instrText xml:space="preserve"> PAGEREF _Ref160443317 \h </w:instrText>
      </w:r>
      <w:r>
        <w:rPr>
          <w:rFonts w:eastAsia="Aptos"/>
        </w:rPr>
      </w:r>
      <w:r>
        <w:rPr>
          <w:rFonts w:eastAsia="Aptos"/>
        </w:rPr>
        <w:fldChar w:fldCharType="separate"/>
      </w:r>
      <w:r w:rsidR="00875974">
        <w:rPr>
          <w:rFonts w:eastAsia="Aptos"/>
          <w:noProof/>
        </w:rPr>
        <w:t>12</w:t>
      </w:r>
      <w:r>
        <w:rPr>
          <w:rFonts w:eastAsia="Aptos"/>
        </w:rPr>
        <w:fldChar w:fldCharType="end"/>
      </w:r>
      <w:r>
        <w:rPr>
          <w:rFonts w:eastAsia="Aptos"/>
        </w:rPr>
        <w:t xml:space="preserve"> below), the allocations are </w:t>
      </w:r>
      <w:r w:rsidRPr="007F180D">
        <w:rPr>
          <w:rFonts w:eastAsia="Aptos"/>
          <w:i/>
          <w:iCs/>
        </w:rPr>
        <w:t>demand</w:t>
      </w:r>
      <w:r>
        <w:rPr>
          <w:rFonts w:eastAsia="Aptos"/>
          <w:i/>
          <w:iCs/>
        </w:rPr>
        <w:t>-</w:t>
      </w:r>
      <w:r>
        <w:rPr>
          <w:rFonts w:eastAsia="Aptos"/>
        </w:rPr>
        <w:t xml:space="preserve">driven by program applicants. </w:t>
      </w:r>
      <w:r w:rsidR="00832D9F">
        <w:rPr>
          <w:rFonts w:eastAsia="Aptos"/>
        </w:rPr>
        <w:t xml:space="preserve">In other situations, such as the ARC and the Health programs, allocations are also application-driven although guided by internal </w:t>
      </w:r>
      <w:r w:rsidR="004F1F73">
        <w:rPr>
          <w:rFonts w:eastAsia="Aptos"/>
        </w:rPr>
        <w:t>processes</w:t>
      </w:r>
      <w:r w:rsidR="00832D9F">
        <w:rPr>
          <w:rFonts w:eastAsia="Aptos"/>
        </w:rPr>
        <w:t xml:space="preserve"> and grants criteria. </w:t>
      </w:r>
    </w:p>
    <w:p w14:paraId="5491E935" w14:textId="3CD9FEF5" w:rsidR="00E058A1" w:rsidRDefault="009C6F7D" w:rsidP="009C6F7D">
      <w:pPr>
        <w:pStyle w:val="Heading4"/>
        <w:rPr>
          <w:rFonts w:eastAsia="Aptos"/>
        </w:rPr>
      </w:pPr>
      <w:r w:rsidRPr="009C6F7D">
        <w:rPr>
          <w:rFonts w:eastAsia="Aptos"/>
        </w:rPr>
        <w:t>Australian Nuclear Science &amp; Technology Organisation (ANSTO)</w:t>
      </w:r>
    </w:p>
    <w:p w14:paraId="2036F122" w14:textId="19721C59" w:rsidR="00872DB0" w:rsidRPr="00872DB0" w:rsidRDefault="00D1720F" w:rsidP="00872DB0">
      <w:pPr>
        <w:rPr>
          <w:rFonts w:eastAsia="Aptos"/>
        </w:rPr>
      </w:pPr>
      <w:r>
        <w:rPr>
          <w:rFonts w:eastAsia="Aptos"/>
        </w:rPr>
        <w:t xml:space="preserve">The SRI Budget Tables reveal that over the period 200-08 to 2023-24, the inflation-adjusted  Budget allocation to ANSTO </w:t>
      </w:r>
      <w:r>
        <w:rPr>
          <w:rFonts w:eastAsia="Aptos"/>
        </w:rPr>
        <w:t xml:space="preserve">(base year 2020-21) </w:t>
      </w:r>
      <w:r w:rsidR="007F180D">
        <w:rPr>
          <w:rFonts w:eastAsia="Aptos"/>
        </w:rPr>
        <w:t>fell</w:t>
      </w:r>
      <w:r>
        <w:rPr>
          <w:rFonts w:eastAsia="Aptos"/>
        </w:rPr>
        <w:t xml:space="preserve"> by 6.4%</w:t>
      </w:r>
      <w:r w:rsidR="00D34389">
        <w:rPr>
          <w:rFonts w:eastAsia="Aptos"/>
        </w:rPr>
        <w:t xml:space="preserve">. </w:t>
      </w:r>
      <w:r>
        <w:rPr>
          <w:rFonts w:eastAsia="Aptos"/>
        </w:rPr>
        <w:t xml:space="preserve"> </w:t>
      </w:r>
      <w:r w:rsidR="00DA2351">
        <w:rPr>
          <w:rFonts w:eastAsia="Aptos"/>
        </w:rPr>
        <w:t xml:space="preserve">The trends in investment </w:t>
      </w:r>
      <w:r w:rsidR="007F180D">
        <w:rPr>
          <w:rFonts w:eastAsia="Aptos"/>
        </w:rPr>
        <w:t xml:space="preserve">over </w:t>
      </w:r>
      <w:r w:rsidR="00DA2351">
        <w:rPr>
          <w:rFonts w:eastAsia="Aptos"/>
        </w:rPr>
        <w:t xml:space="preserve">the period are shown in </w:t>
      </w:r>
      <w:r w:rsidR="00DA2351">
        <w:rPr>
          <w:rFonts w:eastAsia="Aptos"/>
        </w:rPr>
        <w:fldChar w:fldCharType="begin"/>
      </w:r>
      <w:r w:rsidR="00DA2351">
        <w:rPr>
          <w:rFonts w:eastAsia="Aptos"/>
        </w:rPr>
        <w:instrText xml:space="preserve"> REF _Ref160433781 \h </w:instrText>
      </w:r>
      <w:r w:rsidR="00DA2351">
        <w:rPr>
          <w:rFonts w:eastAsia="Aptos"/>
        </w:rPr>
      </w:r>
      <w:r w:rsidR="00DA2351">
        <w:rPr>
          <w:rFonts w:eastAsia="Aptos"/>
        </w:rPr>
        <w:fldChar w:fldCharType="separate"/>
      </w:r>
      <w:r w:rsidR="00875974">
        <w:t xml:space="preserve">Figure </w:t>
      </w:r>
      <w:r w:rsidR="00875974">
        <w:rPr>
          <w:noProof/>
        </w:rPr>
        <w:t>8</w:t>
      </w:r>
      <w:r w:rsidR="00DA2351">
        <w:rPr>
          <w:rFonts w:eastAsia="Aptos"/>
        </w:rPr>
        <w:fldChar w:fldCharType="end"/>
      </w:r>
      <w:r w:rsidR="00DA2351">
        <w:rPr>
          <w:rFonts w:eastAsia="Aptos"/>
        </w:rPr>
        <w:t xml:space="preserve">. </w:t>
      </w:r>
    </w:p>
    <w:p w14:paraId="441A6519" w14:textId="119EF4FB" w:rsidR="009C6F7D" w:rsidRDefault="009C6F7D" w:rsidP="00846A19">
      <w:pPr>
        <w:pStyle w:val="Caption"/>
        <w:keepNext/>
        <w:spacing w:before="0" w:after="0"/>
        <w:contextualSpacing/>
      </w:pPr>
      <w:bookmarkStart w:id="33" w:name="_Ref160433781"/>
      <w:bookmarkStart w:id="34" w:name="_Toc160445136"/>
      <w:r>
        <w:lastRenderedPageBreak/>
        <w:t xml:space="preserve">Figure </w:t>
      </w:r>
      <w:r>
        <w:fldChar w:fldCharType="begin"/>
      </w:r>
      <w:r>
        <w:instrText xml:space="preserve"> SEQ Figure \* ARABIC </w:instrText>
      </w:r>
      <w:r>
        <w:fldChar w:fldCharType="separate"/>
      </w:r>
      <w:r w:rsidR="00875974">
        <w:rPr>
          <w:noProof/>
        </w:rPr>
        <w:t>8</w:t>
      </w:r>
      <w:r>
        <w:fldChar w:fldCharType="end"/>
      </w:r>
      <w:bookmarkEnd w:id="33"/>
      <w:r>
        <w:t xml:space="preserve">: </w:t>
      </w:r>
      <w:r w:rsidR="007F180D">
        <w:t>I</w:t>
      </w:r>
      <w:r w:rsidRPr="00157FCC">
        <w:t xml:space="preserve">nvestment in R&amp;D by </w:t>
      </w:r>
      <w:r w:rsidR="00833474">
        <w:t xml:space="preserve">SEO </w:t>
      </w:r>
      <w:r w:rsidRPr="00157FCC">
        <w:t xml:space="preserve">for </w:t>
      </w:r>
      <w:r>
        <w:t>ANSTO</w:t>
      </w:r>
      <w:r w:rsidRPr="00157FCC">
        <w:t xml:space="preserve">, </w:t>
      </w:r>
      <w:r w:rsidR="00D1720F">
        <w:t>2007-08</w:t>
      </w:r>
      <w:r w:rsidRPr="00157FCC">
        <w:t xml:space="preserve"> to 2023-24, ($m </w:t>
      </w:r>
      <w:r>
        <w:t>inflation-adjusted</w:t>
      </w:r>
      <w:r w:rsidRPr="00157FCC">
        <w:t>)</w:t>
      </w:r>
      <w:bookmarkEnd w:id="34"/>
    </w:p>
    <w:p w14:paraId="5B43C7A3" w14:textId="64AF85E6" w:rsidR="009C6F7D" w:rsidRDefault="00DA2351" w:rsidP="00846A19">
      <w:pPr>
        <w:spacing w:before="0" w:after="0"/>
        <w:contextualSpacing/>
        <w:jc w:val="center"/>
        <w:rPr>
          <w:rFonts w:eastAsia="Aptos"/>
        </w:rPr>
      </w:pPr>
      <w:r>
        <w:rPr>
          <w:noProof/>
          <w14:ligatures w14:val="standardContextual"/>
        </w:rPr>
        <w:drawing>
          <wp:inline distT="0" distB="0" distL="0" distR="0" wp14:anchorId="3CB0B474" wp14:editId="747B56BA">
            <wp:extent cx="4750435" cy="2527300"/>
            <wp:effectExtent l="12700" t="12700" r="12065" b="12700"/>
            <wp:docPr id="125538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388298" name=""/>
                    <pic:cNvPicPr/>
                  </pic:nvPicPr>
                  <pic:blipFill>
                    <a:blip r:embed="rId23"/>
                    <a:stretch>
                      <a:fillRect/>
                    </a:stretch>
                  </pic:blipFill>
                  <pic:spPr>
                    <a:xfrm>
                      <a:off x="0" y="0"/>
                      <a:ext cx="4753986" cy="2529189"/>
                    </a:xfrm>
                    <a:prstGeom prst="rect">
                      <a:avLst/>
                    </a:prstGeom>
                    <a:ln>
                      <a:solidFill>
                        <a:schemeClr val="accent1"/>
                      </a:solidFill>
                    </a:ln>
                  </pic:spPr>
                </pic:pic>
              </a:graphicData>
            </a:graphic>
          </wp:inline>
        </w:drawing>
      </w:r>
    </w:p>
    <w:p w14:paraId="43C832F3" w14:textId="77777777" w:rsidR="009C6F7D" w:rsidRDefault="009C6F7D" w:rsidP="00846A19">
      <w:pPr>
        <w:spacing w:before="0" w:after="0"/>
        <w:ind w:firstLine="720"/>
        <w:contextualSpacing/>
        <w:rPr>
          <w:rFonts w:cs="Aptos"/>
          <w:color w:val="000000"/>
          <w:sz w:val="16"/>
          <w:szCs w:val="16"/>
        </w:rPr>
      </w:pPr>
      <w:r w:rsidRPr="005B2CCD">
        <w:rPr>
          <w:rFonts w:cs="Aptos"/>
          <w:color w:val="000000"/>
          <w:sz w:val="16"/>
          <w:szCs w:val="16"/>
        </w:rPr>
        <w:t>Source: SRI Budget Tables</w:t>
      </w:r>
      <w:r>
        <w:rPr>
          <w:rFonts w:cs="Aptos"/>
          <w:color w:val="000000"/>
          <w:sz w:val="16"/>
          <w:szCs w:val="16"/>
        </w:rPr>
        <w:t>.</w:t>
      </w:r>
    </w:p>
    <w:p w14:paraId="3FEA62B1" w14:textId="6767AB57" w:rsidR="00B81194" w:rsidRDefault="00D34389" w:rsidP="00B81194">
      <w:pPr>
        <w:rPr>
          <w:rFonts w:eastAsia="Aptos"/>
        </w:rPr>
      </w:pPr>
      <w:r>
        <w:rPr>
          <w:rFonts w:eastAsia="Aptos"/>
        </w:rPr>
        <w:fldChar w:fldCharType="begin"/>
      </w:r>
      <w:r>
        <w:rPr>
          <w:rFonts w:eastAsia="Aptos"/>
        </w:rPr>
        <w:instrText xml:space="preserve"> REF _Ref160433781 \h </w:instrText>
      </w:r>
      <w:r>
        <w:rPr>
          <w:rFonts w:eastAsia="Aptos"/>
        </w:rPr>
      </w:r>
      <w:r>
        <w:rPr>
          <w:rFonts w:eastAsia="Aptos"/>
        </w:rPr>
        <w:fldChar w:fldCharType="separate"/>
      </w:r>
      <w:r w:rsidR="00875974">
        <w:t xml:space="preserve">Figure </w:t>
      </w:r>
      <w:r w:rsidR="00875974">
        <w:rPr>
          <w:noProof/>
        </w:rPr>
        <w:t>8</w:t>
      </w:r>
      <w:r>
        <w:rPr>
          <w:rFonts w:eastAsia="Aptos"/>
        </w:rPr>
        <w:fldChar w:fldCharType="end"/>
      </w:r>
      <w:r>
        <w:rPr>
          <w:rFonts w:eastAsia="Aptos"/>
        </w:rPr>
        <w:t xml:space="preserve"> reveals that t</w:t>
      </w:r>
      <w:r w:rsidR="00B81194">
        <w:rPr>
          <w:rFonts w:eastAsia="Aptos"/>
        </w:rPr>
        <w:t xml:space="preserve">he largest proportion </w:t>
      </w:r>
      <w:r w:rsidR="00B81194">
        <w:rPr>
          <w:rFonts w:eastAsia="Aptos"/>
        </w:rPr>
        <w:t>of ANS</w:t>
      </w:r>
      <w:r w:rsidR="00DA2351">
        <w:rPr>
          <w:rFonts w:eastAsia="Aptos"/>
        </w:rPr>
        <w:t>T</w:t>
      </w:r>
      <w:r w:rsidR="00B81194">
        <w:rPr>
          <w:rFonts w:eastAsia="Aptos"/>
        </w:rPr>
        <w:t xml:space="preserve">O expenditure </w:t>
      </w:r>
      <w:r w:rsidR="00B81194">
        <w:rPr>
          <w:rFonts w:eastAsia="Aptos"/>
        </w:rPr>
        <w:t>is for General advancement of knowledge. Over the years, only a small amount has been allocated to Industrial production and technology. This has fallen further since 2016-17.</w:t>
      </w:r>
    </w:p>
    <w:p w14:paraId="37185531" w14:textId="559947AB" w:rsidR="00B0257E" w:rsidRDefault="00D00D3F" w:rsidP="00E058A1">
      <w:pPr>
        <w:pStyle w:val="Heading4"/>
        <w:rPr>
          <w:rFonts w:eastAsia="Aptos"/>
        </w:rPr>
      </w:pPr>
      <w:r>
        <w:rPr>
          <w:rFonts w:eastAsia="Aptos"/>
        </w:rPr>
        <w:t>Australian Research Council (ARC)</w:t>
      </w:r>
    </w:p>
    <w:p w14:paraId="001C5DD0" w14:textId="4E315A31" w:rsidR="009C6F7D" w:rsidRPr="009C6F7D" w:rsidRDefault="00D34389" w:rsidP="009C6F7D">
      <w:pPr>
        <w:rPr>
          <w:rFonts w:eastAsia="Aptos"/>
        </w:rPr>
      </w:pPr>
      <w:r>
        <w:rPr>
          <w:rFonts w:eastAsia="Aptos"/>
        </w:rPr>
        <w:t>O</w:t>
      </w:r>
      <w:r w:rsidR="00846A19">
        <w:rPr>
          <w:rFonts w:eastAsia="Aptos"/>
        </w:rPr>
        <w:t>ver the period 2007-08 to 2023-24, the inflation-adjusted payment to the ARC</w:t>
      </w:r>
      <w:r w:rsidR="004F1F73">
        <w:rPr>
          <w:rFonts w:eastAsia="Aptos"/>
        </w:rPr>
        <w:t xml:space="preserve"> have</w:t>
      </w:r>
      <w:r w:rsidR="00846A19">
        <w:rPr>
          <w:rFonts w:eastAsia="Aptos"/>
        </w:rPr>
        <w:t xml:space="preserve"> increased by 2.2%</w:t>
      </w:r>
      <w:r>
        <w:rPr>
          <w:rFonts w:eastAsia="Aptos"/>
        </w:rPr>
        <w:t xml:space="preserve">. </w:t>
      </w:r>
      <w:r w:rsidR="00846A19">
        <w:rPr>
          <w:rFonts w:eastAsia="Aptos"/>
        </w:rPr>
        <w:t xml:space="preserve"> </w:t>
      </w:r>
      <w:r w:rsidR="00DA2351">
        <w:rPr>
          <w:rFonts w:eastAsia="Aptos"/>
        </w:rPr>
        <w:t>Investment trends are s</w:t>
      </w:r>
      <w:r w:rsidR="007F180D">
        <w:rPr>
          <w:rFonts w:eastAsia="Aptos"/>
        </w:rPr>
        <w:t>h</w:t>
      </w:r>
      <w:r w:rsidR="00DA2351">
        <w:rPr>
          <w:rFonts w:eastAsia="Aptos"/>
        </w:rPr>
        <w:t xml:space="preserve">own in </w:t>
      </w:r>
      <w:r w:rsidR="00DA2351">
        <w:rPr>
          <w:rFonts w:eastAsia="Aptos"/>
        </w:rPr>
        <w:fldChar w:fldCharType="begin"/>
      </w:r>
      <w:r w:rsidR="00DA2351">
        <w:rPr>
          <w:rFonts w:eastAsia="Aptos"/>
        </w:rPr>
        <w:instrText xml:space="preserve"> REF _Ref160434284 \h </w:instrText>
      </w:r>
      <w:r w:rsidR="00DA2351">
        <w:rPr>
          <w:rFonts w:eastAsia="Aptos"/>
        </w:rPr>
      </w:r>
      <w:r w:rsidR="00DA2351">
        <w:rPr>
          <w:rFonts w:eastAsia="Aptos"/>
        </w:rPr>
        <w:fldChar w:fldCharType="separate"/>
      </w:r>
      <w:r w:rsidR="00875974">
        <w:t xml:space="preserve">Figure </w:t>
      </w:r>
      <w:r w:rsidR="00875974">
        <w:rPr>
          <w:noProof/>
        </w:rPr>
        <w:t>9</w:t>
      </w:r>
      <w:r w:rsidR="00DA2351">
        <w:rPr>
          <w:rFonts w:eastAsia="Aptos"/>
        </w:rPr>
        <w:fldChar w:fldCharType="end"/>
      </w:r>
      <w:r w:rsidR="007F180D">
        <w:rPr>
          <w:rFonts w:eastAsia="Aptos"/>
        </w:rPr>
        <w:t xml:space="preserve">. </w:t>
      </w:r>
    </w:p>
    <w:p w14:paraId="66FF7B95" w14:textId="7CA47031" w:rsidR="00157FCC" w:rsidRDefault="00157FCC" w:rsidP="00846A19">
      <w:pPr>
        <w:pStyle w:val="Caption"/>
        <w:keepNext/>
        <w:spacing w:before="0" w:after="0"/>
        <w:contextualSpacing/>
      </w:pPr>
      <w:bookmarkStart w:id="35" w:name="_Ref160434284"/>
      <w:bookmarkStart w:id="36" w:name="_Toc160445137"/>
      <w:r>
        <w:t xml:space="preserve">Figure </w:t>
      </w:r>
      <w:r>
        <w:fldChar w:fldCharType="begin"/>
      </w:r>
      <w:r>
        <w:instrText xml:space="preserve"> SEQ Figure \* ARABIC </w:instrText>
      </w:r>
      <w:r>
        <w:fldChar w:fldCharType="separate"/>
      </w:r>
      <w:r w:rsidR="00875974">
        <w:rPr>
          <w:noProof/>
        </w:rPr>
        <w:t>9</w:t>
      </w:r>
      <w:r>
        <w:fldChar w:fldCharType="end"/>
      </w:r>
      <w:bookmarkEnd w:id="35"/>
      <w:r>
        <w:t xml:space="preserve">: </w:t>
      </w:r>
      <w:r w:rsidR="007F180D">
        <w:t>I</w:t>
      </w:r>
      <w:r w:rsidRPr="00157FCC">
        <w:t xml:space="preserve">nvestment in R&amp;D by </w:t>
      </w:r>
      <w:r w:rsidR="00833474">
        <w:t xml:space="preserve">SEO </w:t>
      </w:r>
      <w:r w:rsidRPr="00157FCC">
        <w:t xml:space="preserve">for </w:t>
      </w:r>
      <w:r w:rsidR="004F1F73">
        <w:t xml:space="preserve">the </w:t>
      </w:r>
      <w:r>
        <w:t>ARC</w:t>
      </w:r>
      <w:r w:rsidRPr="00157FCC">
        <w:t xml:space="preserve">, </w:t>
      </w:r>
      <w:r w:rsidR="00846A19">
        <w:t>2007-08</w:t>
      </w:r>
      <w:r w:rsidRPr="00157FCC">
        <w:t xml:space="preserve"> to 2023-24, </w:t>
      </w:r>
      <w:r w:rsidR="00E058A1" w:rsidRPr="00157FCC">
        <w:t xml:space="preserve">($m </w:t>
      </w:r>
      <w:r w:rsidR="00E058A1">
        <w:t>inflation</w:t>
      </w:r>
      <w:r w:rsidR="00E058A1">
        <w:t>-</w:t>
      </w:r>
      <w:r w:rsidR="00E058A1">
        <w:t>adjusted</w:t>
      </w:r>
      <w:r w:rsidR="00E058A1" w:rsidRPr="00157FCC">
        <w:t>)</w:t>
      </w:r>
      <w:bookmarkEnd w:id="36"/>
    </w:p>
    <w:p w14:paraId="75EEFCBA" w14:textId="0896A2A8" w:rsidR="00B0257E" w:rsidRPr="00B0257E" w:rsidRDefault="00846A19" w:rsidP="00846A19">
      <w:pPr>
        <w:spacing w:before="0" w:after="0"/>
        <w:contextualSpacing/>
        <w:jc w:val="center"/>
        <w:rPr>
          <w:rFonts w:eastAsia="Aptos"/>
        </w:rPr>
      </w:pPr>
      <w:r>
        <w:rPr>
          <w:noProof/>
          <w14:ligatures w14:val="standardContextual"/>
        </w:rPr>
        <w:drawing>
          <wp:inline distT="0" distB="0" distL="0" distR="0" wp14:anchorId="15EAAA66" wp14:editId="2935D0C7">
            <wp:extent cx="4751070" cy="2527300"/>
            <wp:effectExtent l="12700" t="12700" r="11430" b="12700"/>
            <wp:docPr id="5169280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928095" name=""/>
                    <pic:cNvPicPr/>
                  </pic:nvPicPr>
                  <pic:blipFill>
                    <a:blip r:embed="rId24"/>
                    <a:stretch>
                      <a:fillRect/>
                    </a:stretch>
                  </pic:blipFill>
                  <pic:spPr>
                    <a:xfrm>
                      <a:off x="0" y="0"/>
                      <a:ext cx="4752001" cy="2527795"/>
                    </a:xfrm>
                    <a:prstGeom prst="rect">
                      <a:avLst/>
                    </a:prstGeom>
                    <a:ln>
                      <a:solidFill>
                        <a:schemeClr val="accent1"/>
                      </a:solidFill>
                    </a:ln>
                  </pic:spPr>
                </pic:pic>
              </a:graphicData>
            </a:graphic>
          </wp:inline>
        </w:drawing>
      </w:r>
    </w:p>
    <w:p w14:paraId="72577E4C" w14:textId="77777777" w:rsidR="009C6F7D" w:rsidRDefault="009C6F7D" w:rsidP="00846A19">
      <w:pPr>
        <w:spacing w:before="0" w:after="0"/>
        <w:ind w:firstLine="720"/>
        <w:contextualSpacing/>
        <w:rPr>
          <w:rFonts w:eastAsia="Aptos"/>
          <w:szCs w:val="22"/>
        </w:rPr>
      </w:pPr>
      <w:r w:rsidRPr="005B2CCD">
        <w:rPr>
          <w:rFonts w:cs="Aptos"/>
          <w:color w:val="000000"/>
          <w:sz w:val="16"/>
          <w:szCs w:val="16"/>
        </w:rPr>
        <w:t>Source: SRI Budget Tables</w:t>
      </w:r>
      <w:r>
        <w:rPr>
          <w:rFonts w:cs="Aptos"/>
          <w:color w:val="000000"/>
          <w:sz w:val="16"/>
          <w:szCs w:val="16"/>
        </w:rPr>
        <w:t>.</w:t>
      </w:r>
    </w:p>
    <w:p w14:paraId="06DC9D5C" w14:textId="03F1E09E" w:rsidR="00B0257E" w:rsidRPr="00846A19" w:rsidRDefault="0067572F" w:rsidP="0067572F">
      <w:pPr>
        <w:rPr>
          <w:rFonts w:eastAsia="Aptos"/>
        </w:rPr>
      </w:pPr>
      <w:r>
        <w:rPr>
          <w:rFonts w:eastAsia="Aptos"/>
        </w:rPr>
        <w:fldChar w:fldCharType="begin"/>
      </w:r>
      <w:r>
        <w:rPr>
          <w:rFonts w:eastAsia="Aptos"/>
        </w:rPr>
        <w:instrText xml:space="preserve"> REF _Ref160434284 \h </w:instrText>
      </w:r>
      <w:r>
        <w:rPr>
          <w:rFonts w:eastAsia="Aptos"/>
        </w:rPr>
      </w:r>
      <w:r>
        <w:rPr>
          <w:rFonts w:eastAsia="Aptos"/>
        </w:rPr>
        <w:fldChar w:fldCharType="separate"/>
      </w:r>
      <w:r w:rsidR="00875974">
        <w:t xml:space="preserve">Figure </w:t>
      </w:r>
      <w:r w:rsidR="00875974">
        <w:rPr>
          <w:noProof/>
        </w:rPr>
        <w:t>9</w:t>
      </w:r>
      <w:r>
        <w:rPr>
          <w:rFonts w:eastAsia="Aptos"/>
        </w:rPr>
        <w:fldChar w:fldCharType="end"/>
      </w:r>
      <w:r>
        <w:rPr>
          <w:rFonts w:eastAsia="Aptos"/>
        </w:rPr>
        <w:t xml:space="preserve"> </w:t>
      </w:r>
      <w:r w:rsidR="00846A19" w:rsidRPr="00846A19">
        <w:rPr>
          <w:rFonts w:eastAsia="Aptos"/>
        </w:rPr>
        <w:t xml:space="preserve">reveals </w:t>
      </w:r>
      <w:r w:rsidR="00846A19">
        <w:rPr>
          <w:rFonts w:eastAsia="Aptos"/>
        </w:rPr>
        <w:t xml:space="preserve">that the greater part of ARC expenditure is for General advancement of knowledge, increasing substantially from 2011-12. The commitment to Industrial production and technology has fallen considerably since that year. </w:t>
      </w:r>
    </w:p>
    <w:p w14:paraId="3445AC80" w14:textId="77777777" w:rsidR="009C6F7D" w:rsidRDefault="009C6F7D" w:rsidP="009C6F7D">
      <w:pPr>
        <w:pStyle w:val="Heading4"/>
        <w:rPr>
          <w:rFonts w:eastAsia="Aptos"/>
        </w:rPr>
      </w:pPr>
      <w:r w:rsidRPr="009C6F7D">
        <w:rPr>
          <w:rFonts w:eastAsia="Aptos"/>
        </w:rPr>
        <w:t>Commonwealth Scientific and Industrial Research Organisation (CSIRO)</w:t>
      </w:r>
    </w:p>
    <w:p w14:paraId="001D3052" w14:textId="3C198BCA" w:rsidR="00D34389" w:rsidRPr="009C6F7D" w:rsidRDefault="00D34389" w:rsidP="00D34389">
      <w:pPr>
        <w:rPr>
          <w:rFonts w:eastAsia="Aptos"/>
        </w:rPr>
      </w:pPr>
      <w:r>
        <w:rPr>
          <w:rFonts w:eastAsia="Aptos"/>
        </w:rPr>
        <w:t xml:space="preserve">Over the period 2007-08 to 2023-24, the inflation-adjusted </w:t>
      </w:r>
      <w:r w:rsidR="00DA2351">
        <w:rPr>
          <w:rFonts w:eastAsia="Aptos"/>
        </w:rPr>
        <w:t xml:space="preserve">investment in </w:t>
      </w:r>
      <w:r>
        <w:rPr>
          <w:rFonts w:eastAsia="Aptos"/>
        </w:rPr>
        <w:t xml:space="preserve">CSIRO decreased by 0.9%. </w:t>
      </w:r>
      <w:r>
        <w:rPr>
          <w:rFonts w:eastAsia="Aptos"/>
        </w:rPr>
        <w:t xml:space="preserve">  </w:t>
      </w:r>
      <w:r>
        <w:rPr>
          <w:rFonts w:eastAsia="Aptos"/>
        </w:rPr>
        <w:t xml:space="preserve">The changing distribution of </w:t>
      </w:r>
      <w:r w:rsidR="00DA2351">
        <w:rPr>
          <w:rFonts w:eastAsia="Aptos"/>
        </w:rPr>
        <w:t xml:space="preserve">investment </w:t>
      </w:r>
      <w:r>
        <w:rPr>
          <w:rFonts w:eastAsia="Aptos"/>
        </w:rPr>
        <w:t xml:space="preserve">is shown in </w:t>
      </w:r>
      <w:r w:rsidR="008B1A0C">
        <w:rPr>
          <w:rFonts w:eastAsia="Aptos"/>
        </w:rPr>
        <w:fldChar w:fldCharType="begin"/>
      </w:r>
      <w:r w:rsidR="008B1A0C">
        <w:rPr>
          <w:rFonts w:eastAsia="Aptos"/>
        </w:rPr>
        <w:instrText xml:space="preserve"> REF _Ref160434713 \h </w:instrText>
      </w:r>
      <w:r w:rsidR="008B1A0C">
        <w:rPr>
          <w:rFonts w:eastAsia="Aptos"/>
        </w:rPr>
      </w:r>
      <w:r w:rsidR="008B1A0C">
        <w:rPr>
          <w:rFonts w:eastAsia="Aptos"/>
        </w:rPr>
        <w:fldChar w:fldCharType="separate"/>
      </w:r>
      <w:r w:rsidR="00875974">
        <w:t xml:space="preserve">Figure </w:t>
      </w:r>
      <w:r w:rsidR="00875974">
        <w:rPr>
          <w:noProof/>
        </w:rPr>
        <w:t>10</w:t>
      </w:r>
      <w:r w:rsidR="008B1A0C">
        <w:rPr>
          <w:rFonts w:eastAsia="Aptos"/>
        </w:rPr>
        <w:fldChar w:fldCharType="end"/>
      </w:r>
      <w:r w:rsidR="00DA2351">
        <w:rPr>
          <w:rFonts w:eastAsia="Aptos"/>
        </w:rPr>
        <w:t xml:space="preserve">. </w:t>
      </w:r>
    </w:p>
    <w:p w14:paraId="3782898E" w14:textId="48D899E4" w:rsidR="00157FCC" w:rsidRDefault="00157FCC" w:rsidP="007F180D">
      <w:pPr>
        <w:pStyle w:val="Caption"/>
        <w:keepNext/>
        <w:spacing w:before="0" w:after="0"/>
        <w:contextualSpacing/>
      </w:pPr>
      <w:bookmarkStart w:id="37" w:name="_Ref160434713"/>
      <w:bookmarkStart w:id="38" w:name="_Toc160445138"/>
      <w:r>
        <w:lastRenderedPageBreak/>
        <w:t xml:space="preserve">Figure </w:t>
      </w:r>
      <w:r>
        <w:fldChar w:fldCharType="begin"/>
      </w:r>
      <w:r>
        <w:instrText xml:space="preserve"> SEQ Figure \* ARABIC </w:instrText>
      </w:r>
      <w:r>
        <w:fldChar w:fldCharType="separate"/>
      </w:r>
      <w:r w:rsidR="00875974">
        <w:rPr>
          <w:noProof/>
        </w:rPr>
        <w:t>10</w:t>
      </w:r>
      <w:r>
        <w:fldChar w:fldCharType="end"/>
      </w:r>
      <w:bookmarkEnd w:id="37"/>
      <w:r>
        <w:t xml:space="preserve">: </w:t>
      </w:r>
      <w:r w:rsidR="007F180D">
        <w:t>I</w:t>
      </w:r>
      <w:r w:rsidRPr="00157FCC">
        <w:t xml:space="preserve">nvestment in R&amp;D by </w:t>
      </w:r>
      <w:r w:rsidR="00833474">
        <w:t xml:space="preserve">SEO </w:t>
      </w:r>
      <w:r w:rsidRPr="00157FCC">
        <w:t xml:space="preserve">for </w:t>
      </w:r>
      <w:r>
        <w:t>CSIRO</w:t>
      </w:r>
      <w:r w:rsidRPr="00157FCC">
        <w:t>, 200</w:t>
      </w:r>
      <w:r w:rsidR="00846A19">
        <w:t xml:space="preserve">7-08 </w:t>
      </w:r>
      <w:r w:rsidRPr="00157FCC">
        <w:t xml:space="preserve">to 2023-24, </w:t>
      </w:r>
      <w:r w:rsidR="00E058A1" w:rsidRPr="00157FCC">
        <w:t xml:space="preserve">($m </w:t>
      </w:r>
      <w:r w:rsidR="00E058A1">
        <w:t>inflation</w:t>
      </w:r>
      <w:r w:rsidR="00E058A1">
        <w:t>-</w:t>
      </w:r>
      <w:r w:rsidR="00E058A1">
        <w:t>adjusted</w:t>
      </w:r>
      <w:r w:rsidR="00E058A1" w:rsidRPr="00157FCC">
        <w:t>)</w:t>
      </w:r>
      <w:bookmarkEnd w:id="38"/>
    </w:p>
    <w:p w14:paraId="47DC19B3" w14:textId="1AD3AD3E" w:rsidR="00B0257E" w:rsidRDefault="008B1A0C" w:rsidP="008B1A0C">
      <w:pPr>
        <w:spacing w:before="0" w:after="0"/>
        <w:contextualSpacing/>
        <w:jc w:val="center"/>
        <w:rPr>
          <w:rFonts w:eastAsia="Aptos"/>
        </w:rPr>
      </w:pPr>
      <w:r>
        <w:rPr>
          <w:noProof/>
          <w14:ligatures w14:val="standardContextual"/>
        </w:rPr>
        <w:drawing>
          <wp:inline distT="0" distB="0" distL="0" distR="0" wp14:anchorId="45A9E5E9" wp14:editId="2B0CBC0C">
            <wp:extent cx="4752000" cy="2466000"/>
            <wp:effectExtent l="12700" t="12700" r="10795" b="10795"/>
            <wp:docPr id="351859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859348" name=""/>
                    <pic:cNvPicPr/>
                  </pic:nvPicPr>
                  <pic:blipFill>
                    <a:blip r:embed="rId25"/>
                    <a:stretch>
                      <a:fillRect/>
                    </a:stretch>
                  </pic:blipFill>
                  <pic:spPr>
                    <a:xfrm>
                      <a:off x="0" y="0"/>
                      <a:ext cx="4752000" cy="2466000"/>
                    </a:xfrm>
                    <a:prstGeom prst="rect">
                      <a:avLst/>
                    </a:prstGeom>
                    <a:ln>
                      <a:solidFill>
                        <a:schemeClr val="accent1"/>
                      </a:solidFill>
                    </a:ln>
                  </pic:spPr>
                </pic:pic>
              </a:graphicData>
            </a:graphic>
          </wp:inline>
        </w:drawing>
      </w:r>
    </w:p>
    <w:p w14:paraId="21952AA3" w14:textId="77777777" w:rsidR="009C6F7D" w:rsidRDefault="009C6F7D" w:rsidP="008B1A0C">
      <w:pPr>
        <w:spacing w:before="0" w:after="0"/>
        <w:ind w:firstLine="720"/>
        <w:contextualSpacing/>
        <w:rPr>
          <w:rFonts w:eastAsia="Aptos"/>
          <w:szCs w:val="22"/>
        </w:rPr>
      </w:pPr>
      <w:r w:rsidRPr="005B2CCD">
        <w:rPr>
          <w:rFonts w:cs="Aptos"/>
          <w:color w:val="000000"/>
          <w:sz w:val="16"/>
          <w:szCs w:val="16"/>
        </w:rPr>
        <w:t>Source: SRI Budget Tables</w:t>
      </w:r>
      <w:r>
        <w:rPr>
          <w:rFonts w:cs="Aptos"/>
          <w:color w:val="000000"/>
          <w:sz w:val="16"/>
          <w:szCs w:val="16"/>
        </w:rPr>
        <w:t>.</w:t>
      </w:r>
    </w:p>
    <w:p w14:paraId="6C0862F7" w14:textId="39066EE3" w:rsidR="00B0257E" w:rsidRDefault="008B1A0C" w:rsidP="00B0257E">
      <w:pPr>
        <w:rPr>
          <w:rFonts w:eastAsia="Aptos"/>
        </w:rPr>
      </w:pPr>
      <w:r>
        <w:rPr>
          <w:rFonts w:eastAsia="Aptos"/>
        </w:rPr>
        <w:fldChar w:fldCharType="begin"/>
      </w:r>
      <w:r>
        <w:rPr>
          <w:rFonts w:eastAsia="Aptos"/>
        </w:rPr>
        <w:instrText xml:space="preserve"> REF _Ref160434713 \h </w:instrText>
      </w:r>
      <w:r>
        <w:rPr>
          <w:rFonts w:eastAsia="Aptos"/>
        </w:rPr>
      </w:r>
      <w:r>
        <w:rPr>
          <w:rFonts w:eastAsia="Aptos"/>
        </w:rPr>
        <w:fldChar w:fldCharType="separate"/>
      </w:r>
      <w:r w:rsidR="00875974">
        <w:t xml:space="preserve">Figure </w:t>
      </w:r>
      <w:r w:rsidR="00875974">
        <w:rPr>
          <w:noProof/>
        </w:rPr>
        <w:t>10</w:t>
      </w:r>
      <w:r>
        <w:rPr>
          <w:rFonts w:eastAsia="Aptos"/>
        </w:rPr>
        <w:fldChar w:fldCharType="end"/>
      </w:r>
      <w:r>
        <w:rPr>
          <w:rFonts w:eastAsia="Aptos"/>
        </w:rPr>
        <w:t xml:space="preserve"> shows that the commitment to Industrial production and technology had fallen quite rapidly </w:t>
      </w:r>
      <w:r w:rsidR="00DA2351">
        <w:rPr>
          <w:rFonts w:eastAsia="Aptos"/>
        </w:rPr>
        <w:t xml:space="preserve">since 2007-08, although it started to recover in 2014-15. Investments in other areas have fluctuated widely. </w:t>
      </w:r>
    </w:p>
    <w:p w14:paraId="440DDB13" w14:textId="46A148C5" w:rsidR="00E058A1" w:rsidRDefault="00E058A1" w:rsidP="00E058A1">
      <w:pPr>
        <w:pStyle w:val="Heading4"/>
        <w:rPr>
          <w:rFonts w:eastAsia="Aptos"/>
        </w:rPr>
      </w:pPr>
      <w:r w:rsidRPr="00E058A1">
        <w:rPr>
          <w:rFonts w:eastAsia="Aptos"/>
        </w:rPr>
        <w:t>National Collaborative Research Infrastructure Strategy (NCRIS)</w:t>
      </w:r>
    </w:p>
    <w:p w14:paraId="7CE83B53" w14:textId="2012A93F" w:rsidR="00DA2351" w:rsidRPr="00DA2351" w:rsidRDefault="00DA2351" w:rsidP="00DA2351">
      <w:pPr>
        <w:rPr>
          <w:rFonts w:eastAsia="Aptos"/>
        </w:rPr>
      </w:pPr>
      <w:r>
        <w:rPr>
          <w:rFonts w:eastAsia="Aptos"/>
        </w:rPr>
        <w:t xml:space="preserve">The Government’s inflation-adjusted investment commitments to NCRIS have increased by 177.3% since 2007-08, although there have been significant fluctuations over the period, as illustrated in </w:t>
      </w:r>
      <w:r>
        <w:rPr>
          <w:rFonts w:eastAsia="Aptos"/>
        </w:rPr>
        <w:fldChar w:fldCharType="begin"/>
      </w:r>
      <w:r>
        <w:rPr>
          <w:rFonts w:eastAsia="Aptos"/>
        </w:rPr>
        <w:instrText xml:space="preserve"> REF _Ref160436159 \h </w:instrText>
      </w:r>
      <w:r>
        <w:rPr>
          <w:rFonts w:eastAsia="Aptos"/>
        </w:rPr>
      </w:r>
      <w:r>
        <w:rPr>
          <w:rFonts w:eastAsia="Aptos"/>
        </w:rPr>
        <w:fldChar w:fldCharType="separate"/>
      </w:r>
      <w:r w:rsidR="00875974">
        <w:t xml:space="preserve">Figure </w:t>
      </w:r>
      <w:r w:rsidR="00875974">
        <w:rPr>
          <w:noProof/>
        </w:rPr>
        <w:t>11</w:t>
      </w:r>
      <w:r>
        <w:rPr>
          <w:rFonts w:eastAsia="Aptos"/>
        </w:rPr>
        <w:fldChar w:fldCharType="end"/>
      </w:r>
      <w:r>
        <w:rPr>
          <w:rFonts w:eastAsia="Aptos"/>
        </w:rPr>
        <w:t xml:space="preserve">. </w:t>
      </w:r>
    </w:p>
    <w:p w14:paraId="32783AB9" w14:textId="4EAC5AC8" w:rsidR="00E058A1" w:rsidRDefault="00E058A1" w:rsidP="00DA2351">
      <w:pPr>
        <w:pStyle w:val="Caption"/>
        <w:keepNext/>
        <w:spacing w:before="0" w:after="0"/>
        <w:contextualSpacing/>
      </w:pPr>
      <w:bookmarkStart w:id="39" w:name="_Ref160436159"/>
      <w:bookmarkStart w:id="40" w:name="_Toc160445139"/>
      <w:r>
        <w:t xml:space="preserve">Figure </w:t>
      </w:r>
      <w:r>
        <w:fldChar w:fldCharType="begin"/>
      </w:r>
      <w:r>
        <w:instrText xml:space="preserve"> SEQ Figure \* ARABIC </w:instrText>
      </w:r>
      <w:r>
        <w:fldChar w:fldCharType="separate"/>
      </w:r>
      <w:r w:rsidR="00875974">
        <w:rPr>
          <w:noProof/>
        </w:rPr>
        <w:t>11</w:t>
      </w:r>
      <w:r>
        <w:fldChar w:fldCharType="end"/>
      </w:r>
      <w:bookmarkEnd w:id="39"/>
      <w:r>
        <w:t xml:space="preserve">: </w:t>
      </w:r>
      <w:r w:rsidR="007F180D">
        <w:t>I</w:t>
      </w:r>
      <w:r w:rsidRPr="00157FCC">
        <w:t xml:space="preserve">nvestment in R&amp;D by </w:t>
      </w:r>
      <w:r w:rsidR="00833474">
        <w:t>SEO</w:t>
      </w:r>
      <w:r w:rsidRPr="00157FCC">
        <w:t xml:space="preserve"> for </w:t>
      </w:r>
      <w:r>
        <w:t>NCRI</w:t>
      </w:r>
      <w:r w:rsidR="00DA2351">
        <w:t>S</w:t>
      </w:r>
      <w:r w:rsidRPr="00157FCC">
        <w:t xml:space="preserve">, </w:t>
      </w:r>
      <w:r w:rsidR="00DA2351">
        <w:t>2007-08</w:t>
      </w:r>
      <w:r w:rsidRPr="00157FCC">
        <w:t xml:space="preserve"> to 2023-24, ($m </w:t>
      </w:r>
      <w:r>
        <w:t>inflation-adjusted</w:t>
      </w:r>
      <w:r w:rsidRPr="00157FCC">
        <w:t>)</w:t>
      </w:r>
      <w:bookmarkEnd w:id="40"/>
    </w:p>
    <w:p w14:paraId="0EE987E7" w14:textId="1B23616D" w:rsidR="0018080C" w:rsidRDefault="00DA2351" w:rsidP="00DA2351">
      <w:pPr>
        <w:spacing w:before="0" w:after="0"/>
        <w:contextualSpacing/>
        <w:jc w:val="center"/>
        <w:rPr>
          <w:rFonts w:eastAsia="Aptos"/>
        </w:rPr>
      </w:pPr>
      <w:r>
        <w:rPr>
          <w:noProof/>
          <w14:ligatures w14:val="standardContextual"/>
        </w:rPr>
        <w:drawing>
          <wp:inline distT="0" distB="0" distL="0" distR="0" wp14:anchorId="375D61CC" wp14:editId="4B9098CB">
            <wp:extent cx="4752000" cy="2466000"/>
            <wp:effectExtent l="12700" t="12700" r="10795" b="10795"/>
            <wp:docPr id="1794913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913275" name=""/>
                    <pic:cNvPicPr/>
                  </pic:nvPicPr>
                  <pic:blipFill>
                    <a:blip r:embed="rId26"/>
                    <a:stretch>
                      <a:fillRect/>
                    </a:stretch>
                  </pic:blipFill>
                  <pic:spPr>
                    <a:xfrm>
                      <a:off x="0" y="0"/>
                      <a:ext cx="4752000" cy="2466000"/>
                    </a:xfrm>
                    <a:prstGeom prst="rect">
                      <a:avLst/>
                    </a:prstGeom>
                    <a:ln>
                      <a:solidFill>
                        <a:schemeClr val="accent1"/>
                      </a:solidFill>
                    </a:ln>
                  </pic:spPr>
                </pic:pic>
              </a:graphicData>
            </a:graphic>
          </wp:inline>
        </w:drawing>
      </w:r>
    </w:p>
    <w:p w14:paraId="40BBCD0F" w14:textId="77777777" w:rsidR="009C6F7D" w:rsidRDefault="009C6F7D" w:rsidP="00DA2351">
      <w:pPr>
        <w:spacing w:before="0" w:after="0"/>
        <w:ind w:firstLine="720"/>
        <w:contextualSpacing/>
        <w:rPr>
          <w:rFonts w:eastAsia="Aptos"/>
          <w:szCs w:val="22"/>
        </w:rPr>
      </w:pPr>
      <w:r w:rsidRPr="005B2CCD">
        <w:rPr>
          <w:rFonts w:cs="Aptos"/>
          <w:color w:val="000000"/>
          <w:sz w:val="16"/>
          <w:szCs w:val="16"/>
        </w:rPr>
        <w:t>Source: SRI Budget Tables</w:t>
      </w:r>
      <w:r>
        <w:rPr>
          <w:rFonts w:cs="Aptos"/>
          <w:color w:val="000000"/>
          <w:sz w:val="16"/>
          <w:szCs w:val="16"/>
        </w:rPr>
        <w:t>.</w:t>
      </w:r>
    </w:p>
    <w:p w14:paraId="0459443B" w14:textId="77777777" w:rsidR="00DA2351" w:rsidRDefault="00DA2351" w:rsidP="009C6F7D">
      <w:pPr>
        <w:rPr>
          <w:rFonts w:eastAsia="Aptos"/>
        </w:rPr>
      </w:pPr>
      <w:r>
        <w:rPr>
          <w:rFonts w:eastAsia="Aptos"/>
        </w:rPr>
        <w:t xml:space="preserve">The investment commitment increased substantially between 2016-17 and 2017-18, the period of the National Innovation and Science Agenda. The commitment also increased substantially in the 2023-24 Budget. </w:t>
      </w:r>
    </w:p>
    <w:p w14:paraId="0075C2B8" w14:textId="004389E7" w:rsidR="009C6F7D" w:rsidRDefault="00DA2351" w:rsidP="007F180D">
      <w:pPr>
        <w:rPr>
          <w:rFonts w:eastAsia="Aptos"/>
        </w:rPr>
      </w:pPr>
      <w:r>
        <w:rPr>
          <w:rFonts w:eastAsia="Aptos"/>
        </w:rPr>
        <w:t xml:space="preserve">Investments have been classified principally as General </w:t>
      </w:r>
      <w:r w:rsidR="004F1F73">
        <w:rPr>
          <w:rFonts w:eastAsia="Aptos"/>
        </w:rPr>
        <w:t>a</w:t>
      </w:r>
      <w:r>
        <w:rPr>
          <w:rFonts w:eastAsia="Aptos"/>
        </w:rPr>
        <w:t xml:space="preserve">dvancement of </w:t>
      </w:r>
      <w:r w:rsidR="004F1F73">
        <w:rPr>
          <w:rFonts w:eastAsia="Aptos"/>
        </w:rPr>
        <w:t>k</w:t>
      </w:r>
      <w:r>
        <w:rPr>
          <w:rFonts w:eastAsia="Aptos"/>
        </w:rPr>
        <w:t>nowledge</w:t>
      </w:r>
      <w:r w:rsidR="007F180D">
        <w:rPr>
          <w:rFonts w:eastAsia="Aptos"/>
        </w:rPr>
        <w:t>.</w:t>
      </w:r>
      <w:r>
        <w:rPr>
          <w:rFonts w:eastAsia="Aptos"/>
        </w:rPr>
        <w:t xml:space="preserve"> </w:t>
      </w:r>
    </w:p>
    <w:p w14:paraId="6F02312E" w14:textId="6EEA693E" w:rsidR="00B0257E" w:rsidRDefault="00B0257E" w:rsidP="00E058A1">
      <w:pPr>
        <w:pStyle w:val="Heading4"/>
        <w:rPr>
          <w:rFonts w:eastAsia="Aptos"/>
        </w:rPr>
      </w:pPr>
      <w:bookmarkStart w:id="41" w:name="_Ref160443317"/>
      <w:r>
        <w:rPr>
          <w:rFonts w:eastAsia="Aptos"/>
        </w:rPr>
        <w:t>R&amp;D Tax Measures</w:t>
      </w:r>
      <w:bookmarkEnd w:id="41"/>
    </w:p>
    <w:p w14:paraId="4B239377" w14:textId="51CC25A3" w:rsidR="009C6F7D" w:rsidRPr="009C6F7D" w:rsidRDefault="00F36240" w:rsidP="009C6F7D">
      <w:pPr>
        <w:rPr>
          <w:rFonts w:eastAsia="Aptos"/>
        </w:rPr>
      </w:pPr>
      <w:r>
        <w:rPr>
          <w:rFonts w:eastAsia="Aptos"/>
        </w:rPr>
        <w:t xml:space="preserve">Between 2007-08 and 2023-24, the inflation-adjusted investment in R&amp;D Tax Measures has increased by 77.3%. The Increase has been predominantly in Industrial production and technology, as shown in </w:t>
      </w:r>
      <w:r>
        <w:rPr>
          <w:rFonts w:eastAsia="Aptos"/>
        </w:rPr>
        <w:fldChar w:fldCharType="begin"/>
      </w:r>
      <w:r>
        <w:rPr>
          <w:rFonts w:eastAsia="Aptos"/>
        </w:rPr>
        <w:instrText xml:space="preserve"> REF _Ref160436556 \h </w:instrText>
      </w:r>
      <w:r>
        <w:rPr>
          <w:rFonts w:eastAsia="Aptos"/>
        </w:rPr>
      </w:r>
      <w:r>
        <w:rPr>
          <w:rFonts w:eastAsia="Aptos"/>
        </w:rPr>
        <w:fldChar w:fldCharType="separate"/>
      </w:r>
      <w:r w:rsidR="00875974">
        <w:t xml:space="preserve">Figure </w:t>
      </w:r>
      <w:r w:rsidR="00875974">
        <w:rPr>
          <w:noProof/>
        </w:rPr>
        <w:t>12</w:t>
      </w:r>
      <w:r>
        <w:rPr>
          <w:rFonts w:eastAsia="Aptos"/>
        </w:rPr>
        <w:fldChar w:fldCharType="end"/>
      </w:r>
      <w:r>
        <w:rPr>
          <w:rFonts w:eastAsia="Aptos"/>
        </w:rPr>
        <w:t xml:space="preserve">. </w:t>
      </w:r>
    </w:p>
    <w:p w14:paraId="241B5A72" w14:textId="28F307E5" w:rsidR="00157FCC" w:rsidRDefault="00157FCC" w:rsidP="00F36240">
      <w:pPr>
        <w:pStyle w:val="Caption"/>
        <w:keepNext/>
        <w:spacing w:before="0" w:after="0"/>
        <w:contextualSpacing/>
      </w:pPr>
      <w:bookmarkStart w:id="42" w:name="_Ref160436556"/>
      <w:bookmarkStart w:id="43" w:name="_Toc160445140"/>
      <w:r>
        <w:lastRenderedPageBreak/>
        <w:t xml:space="preserve">Figure </w:t>
      </w:r>
      <w:r>
        <w:fldChar w:fldCharType="begin"/>
      </w:r>
      <w:r>
        <w:instrText xml:space="preserve"> SEQ Figure \* ARABIC </w:instrText>
      </w:r>
      <w:r>
        <w:fldChar w:fldCharType="separate"/>
      </w:r>
      <w:r w:rsidR="00875974">
        <w:rPr>
          <w:noProof/>
        </w:rPr>
        <w:t>12</w:t>
      </w:r>
      <w:r>
        <w:fldChar w:fldCharType="end"/>
      </w:r>
      <w:bookmarkEnd w:id="42"/>
      <w:r>
        <w:t xml:space="preserve">: </w:t>
      </w:r>
      <w:r w:rsidR="007F180D">
        <w:t>I</w:t>
      </w:r>
      <w:r w:rsidRPr="00157FCC">
        <w:t xml:space="preserve">nvestment in R&amp;D by </w:t>
      </w:r>
      <w:r w:rsidR="00833474">
        <w:t>SEO</w:t>
      </w:r>
      <w:r w:rsidRPr="00157FCC">
        <w:t xml:space="preserve"> for </w:t>
      </w:r>
      <w:r>
        <w:t>R&amp;D Tax Measures</w:t>
      </w:r>
      <w:r w:rsidRPr="00157FCC">
        <w:t>, 200</w:t>
      </w:r>
      <w:r w:rsidR="00F36240">
        <w:t>7-08</w:t>
      </w:r>
      <w:r w:rsidRPr="00157FCC">
        <w:t xml:space="preserve"> to 2023-24, </w:t>
      </w:r>
      <w:r w:rsidR="00E058A1" w:rsidRPr="00157FCC">
        <w:t xml:space="preserve">($m </w:t>
      </w:r>
      <w:r w:rsidR="00E058A1">
        <w:t>inflation</w:t>
      </w:r>
      <w:r w:rsidR="00E058A1">
        <w:t>-</w:t>
      </w:r>
      <w:r w:rsidR="00E058A1">
        <w:t>adjusted</w:t>
      </w:r>
      <w:r w:rsidR="00E058A1" w:rsidRPr="00157FCC">
        <w:t>)</w:t>
      </w:r>
      <w:bookmarkEnd w:id="43"/>
    </w:p>
    <w:p w14:paraId="367E455A" w14:textId="7F56045A" w:rsidR="00B0257E" w:rsidRDefault="00F36240" w:rsidP="00F36240">
      <w:pPr>
        <w:spacing w:before="0" w:after="0"/>
        <w:contextualSpacing/>
        <w:jc w:val="center"/>
        <w:rPr>
          <w:rFonts w:eastAsia="Aptos"/>
        </w:rPr>
      </w:pPr>
      <w:r>
        <w:rPr>
          <w:noProof/>
          <w14:ligatures w14:val="standardContextual"/>
        </w:rPr>
        <w:drawing>
          <wp:inline distT="0" distB="0" distL="0" distR="0" wp14:anchorId="21F1EE34" wp14:editId="4E178CBE">
            <wp:extent cx="4751705" cy="2547620"/>
            <wp:effectExtent l="12700" t="12700" r="10795" b="17780"/>
            <wp:docPr id="3465765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76576" name=""/>
                    <pic:cNvPicPr/>
                  </pic:nvPicPr>
                  <pic:blipFill>
                    <a:blip r:embed="rId27"/>
                    <a:stretch>
                      <a:fillRect/>
                    </a:stretch>
                  </pic:blipFill>
                  <pic:spPr>
                    <a:xfrm>
                      <a:off x="0" y="0"/>
                      <a:ext cx="4752002" cy="2547779"/>
                    </a:xfrm>
                    <a:prstGeom prst="rect">
                      <a:avLst/>
                    </a:prstGeom>
                    <a:ln>
                      <a:solidFill>
                        <a:schemeClr val="accent1"/>
                      </a:solidFill>
                    </a:ln>
                  </pic:spPr>
                </pic:pic>
              </a:graphicData>
            </a:graphic>
          </wp:inline>
        </w:drawing>
      </w:r>
    </w:p>
    <w:p w14:paraId="433409CB" w14:textId="77777777" w:rsidR="009C6F7D" w:rsidRDefault="009C6F7D" w:rsidP="00F36240">
      <w:pPr>
        <w:spacing w:before="0" w:after="0"/>
        <w:ind w:firstLine="720"/>
        <w:contextualSpacing/>
        <w:rPr>
          <w:rFonts w:eastAsia="Aptos"/>
          <w:szCs w:val="22"/>
        </w:rPr>
      </w:pPr>
      <w:r w:rsidRPr="005B2CCD">
        <w:rPr>
          <w:rFonts w:cs="Aptos"/>
          <w:color w:val="000000"/>
          <w:sz w:val="16"/>
          <w:szCs w:val="16"/>
        </w:rPr>
        <w:t>Source: SRI Budget Tables</w:t>
      </w:r>
      <w:r>
        <w:rPr>
          <w:rFonts w:cs="Aptos"/>
          <w:color w:val="000000"/>
          <w:sz w:val="16"/>
          <w:szCs w:val="16"/>
        </w:rPr>
        <w:t>.</w:t>
      </w:r>
    </w:p>
    <w:p w14:paraId="4570CE7A" w14:textId="4F4E7021" w:rsidR="00B0257E" w:rsidRDefault="00F36240" w:rsidP="00B0257E">
      <w:pPr>
        <w:rPr>
          <w:rFonts w:eastAsia="Aptos"/>
        </w:rPr>
      </w:pPr>
      <w:r>
        <w:rPr>
          <w:rFonts w:eastAsia="Aptos"/>
        </w:rPr>
        <w:fldChar w:fldCharType="begin"/>
      </w:r>
      <w:r>
        <w:rPr>
          <w:rFonts w:eastAsia="Aptos"/>
        </w:rPr>
        <w:instrText xml:space="preserve"> REF _Ref160436556 \h </w:instrText>
      </w:r>
      <w:r>
        <w:rPr>
          <w:rFonts w:eastAsia="Aptos"/>
        </w:rPr>
      </w:r>
      <w:r>
        <w:rPr>
          <w:rFonts w:eastAsia="Aptos"/>
        </w:rPr>
        <w:fldChar w:fldCharType="separate"/>
      </w:r>
      <w:r w:rsidR="00875974">
        <w:t xml:space="preserve">Figure </w:t>
      </w:r>
      <w:r w:rsidR="00875974">
        <w:rPr>
          <w:noProof/>
        </w:rPr>
        <w:t>12</w:t>
      </w:r>
      <w:r>
        <w:rPr>
          <w:rFonts w:eastAsia="Aptos"/>
        </w:rPr>
        <w:fldChar w:fldCharType="end"/>
      </w:r>
      <w:r>
        <w:rPr>
          <w:rFonts w:eastAsia="Aptos"/>
        </w:rPr>
        <w:t xml:space="preserve"> also shows significant fluctuations in other investment areas, including </w:t>
      </w:r>
      <w:r w:rsidRPr="00F36240">
        <w:rPr>
          <w:rFonts w:eastAsia="Aptos"/>
        </w:rPr>
        <w:t>Political and social systems, structures and processes</w:t>
      </w:r>
      <w:r>
        <w:rPr>
          <w:rFonts w:eastAsia="Aptos"/>
        </w:rPr>
        <w:t xml:space="preserve">, Energy, and Health. </w:t>
      </w:r>
    </w:p>
    <w:p w14:paraId="226E9CB2" w14:textId="7BDFEA47" w:rsidR="007F180D" w:rsidRPr="007F180D" w:rsidRDefault="007F180D" w:rsidP="00B0257E">
      <w:pPr>
        <w:rPr>
          <w:rFonts w:eastAsia="Aptos"/>
        </w:rPr>
      </w:pPr>
      <w:r>
        <w:rPr>
          <w:rFonts w:eastAsia="Aptos"/>
        </w:rPr>
        <w:t>As indicated</w:t>
      </w:r>
      <w:r w:rsidR="00832D9F">
        <w:rPr>
          <w:rFonts w:eastAsia="Aptos"/>
        </w:rPr>
        <w:t xml:space="preserve"> earlier</w:t>
      </w:r>
      <w:r>
        <w:rPr>
          <w:rFonts w:eastAsia="Aptos"/>
        </w:rPr>
        <w:t xml:space="preserve">, these investments are </w:t>
      </w:r>
      <w:r w:rsidRPr="007F180D">
        <w:rPr>
          <w:rFonts w:eastAsia="Aptos"/>
          <w:i/>
          <w:iCs/>
        </w:rPr>
        <w:t>demand-driven</w:t>
      </w:r>
      <w:r>
        <w:rPr>
          <w:rFonts w:eastAsia="Aptos"/>
          <w:i/>
          <w:iCs/>
        </w:rPr>
        <w:t xml:space="preserve">, </w:t>
      </w:r>
      <w:r>
        <w:rPr>
          <w:rFonts w:eastAsia="Aptos"/>
        </w:rPr>
        <w:t xml:space="preserve">with the program </w:t>
      </w:r>
      <w:r w:rsidR="00C91DF7">
        <w:rPr>
          <w:rFonts w:eastAsia="Aptos"/>
        </w:rPr>
        <w:t xml:space="preserve">guidelines </w:t>
      </w:r>
      <w:r>
        <w:rPr>
          <w:rFonts w:eastAsia="Aptos"/>
        </w:rPr>
        <w:t>being agnostic about the sector where the investments are made</w:t>
      </w:r>
      <w:r w:rsidR="00C91DF7">
        <w:rPr>
          <w:rStyle w:val="FootnoteReference"/>
          <w:rFonts w:eastAsia="Aptos"/>
        </w:rPr>
        <w:footnoteReference w:id="8"/>
      </w:r>
      <w:r>
        <w:rPr>
          <w:rFonts w:eastAsia="Aptos"/>
        </w:rPr>
        <w:t xml:space="preserve">. </w:t>
      </w:r>
    </w:p>
    <w:p w14:paraId="5D695D0F" w14:textId="730E4E3E" w:rsidR="001B38AE" w:rsidRDefault="001B38AE" w:rsidP="001B38AE">
      <w:pPr>
        <w:pStyle w:val="Heading2"/>
        <w:rPr>
          <w:rFonts w:eastAsia="Aptos"/>
        </w:rPr>
      </w:pPr>
      <w:bookmarkStart w:id="44" w:name="_Toc160445125"/>
      <w:r>
        <w:rPr>
          <w:rFonts w:eastAsia="Aptos"/>
        </w:rPr>
        <w:t xml:space="preserve">Distribution by </w:t>
      </w:r>
      <w:r w:rsidRPr="00832D9F">
        <w:rPr>
          <w:rFonts w:eastAsia="Aptos"/>
          <w:szCs w:val="28"/>
        </w:rPr>
        <w:t>program</w:t>
      </w:r>
      <w:r>
        <w:rPr>
          <w:rFonts w:eastAsia="Aptos"/>
        </w:rPr>
        <w:t xml:space="preserve"> lifespan</w:t>
      </w:r>
      <w:bookmarkEnd w:id="44"/>
      <w:r>
        <w:rPr>
          <w:rFonts w:eastAsia="Aptos"/>
        </w:rPr>
        <w:t xml:space="preserve"> </w:t>
      </w:r>
    </w:p>
    <w:p w14:paraId="2E23DDF2" w14:textId="77777777" w:rsidR="001B38AE" w:rsidRPr="00142921" w:rsidRDefault="001B38AE" w:rsidP="001B38AE">
      <w:pPr>
        <w:rPr>
          <w:rFonts w:eastAsia="Aptos"/>
        </w:rPr>
      </w:pPr>
      <w:r>
        <w:rPr>
          <w:rFonts w:eastAsia="Aptos"/>
        </w:rPr>
        <w:t xml:space="preserve">Just under half of the current R&amp;D programs have been operating between one and four years. </w:t>
      </w:r>
    </w:p>
    <w:p w14:paraId="31064A0F" w14:textId="6DB75FC1" w:rsidR="001B38AE" w:rsidRPr="00B370D3" w:rsidRDefault="001B38AE" w:rsidP="001B38AE">
      <w:pPr>
        <w:rPr>
          <w:rFonts w:eastAsia="Aptos"/>
        </w:rPr>
      </w:pPr>
      <w:r>
        <w:rPr>
          <w:rFonts w:eastAsia="Aptos"/>
        </w:rPr>
        <w:t>The</w:t>
      </w:r>
      <w:r w:rsidR="00D85049">
        <w:rPr>
          <w:rFonts w:eastAsia="Aptos"/>
        </w:rPr>
        <w:t xml:space="preserve"> </w:t>
      </w:r>
      <w:r w:rsidRPr="00866E27">
        <w:rPr>
          <w:rFonts w:eastAsia="Aptos"/>
          <w:i/>
          <w:iCs/>
        </w:rPr>
        <w:t>SRI Budget Tables</w:t>
      </w:r>
      <w:r>
        <w:rPr>
          <w:rFonts w:eastAsia="Aptos"/>
        </w:rPr>
        <w:t xml:space="preserve"> report that in 2023-24, of the 602 programs/activities contained in the R&amp;D database—</w:t>
      </w:r>
    </w:p>
    <w:p w14:paraId="5953DD51" w14:textId="77777777" w:rsidR="001B38AE" w:rsidRPr="00B370D3" w:rsidRDefault="001B38AE" w:rsidP="001B38AE">
      <w:pPr>
        <w:pStyle w:val="ListParagraph"/>
        <w:numPr>
          <w:ilvl w:val="0"/>
          <w:numId w:val="24"/>
        </w:numPr>
        <w:rPr>
          <w:rFonts w:eastAsia="Aptos"/>
        </w:rPr>
      </w:pPr>
      <w:r w:rsidRPr="00B370D3">
        <w:rPr>
          <w:rFonts w:eastAsia="Aptos"/>
        </w:rPr>
        <w:t xml:space="preserve">16 (2.7%) have been present for over 40 years. They include CSIRO, NHMRC grants, ANSTO, DST Group, GRDC, the Antarctic Division, and the National Institutes Program at the ANU. </w:t>
      </w:r>
    </w:p>
    <w:p w14:paraId="015E4B4A" w14:textId="77777777" w:rsidR="001B38AE" w:rsidRPr="00B370D3" w:rsidRDefault="001B38AE" w:rsidP="001B38AE">
      <w:pPr>
        <w:pStyle w:val="ListParagraph"/>
        <w:numPr>
          <w:ilvl w:val="0"/>
          <w:numId w:val="24"/>
        </w:numPr>
        <w:rPr>
          <w:rFonts w:eastAsia="Aptos"/>
        </w:rPr>
      </w:pPr>
      <w:r>
        <w:rPr>
          <w:rFonts w:eastAsia="Aptos"/>
        </w:rPr>
        <w:t xml:space="preserve">8 </w:t>
      </w:r>
      <w:r w:rsidRPr="00B370D3">
        <w:rPr>
          <w:rFonts w:eastAsia="Aptos"/>
        </w:rPr>
        <w:t xml:space="preserve">(1.3%) have lasted between 30 and 39 years, including the CRC program, Horticulture Research, Meat Research (ceased 2015-16), RIRDC (Agrifutures), Land and Water Research (ceased 2009-10) and the former 125% R&amp;D Tax Concession. </w:t>
      </w:r>
    </w:p>
    <w:p w14:paraId="197B07B6" w14:textId="77777777" w:rsidR="001B38AE" w:rsidRPr="00B370D3" w:rsidRDefault="001B38AE" w:rsidP="001B38AE">
      <w:pPr>
        <w:pStyle w:val="ListParagraph"/>
        <w:numPr>
          <w:ilvl w:val="0"/>
          <w:numId w:val="24"/>
        </w:numPr>
        <w:rPr>
          <w:rFonts w:eastAsia="Aptos"/>
        </w:rPr>
      </w:pPr>
      <w:r>
        <w:rPr>
          <w:rFonts w:eastAsia="Aptos"/>
        </w:rPr>
        <w:t xml:space="preserve">19 (3.2%) </w:t>
      </w:r>
      <w:r w:rsidRPr="00B370D3">
        <w:rPr>
          <w:rFonts w:eastAsia="Aptos"/>
        </w:rPr>
        <w:t xml:space="preserve">have operated between 20 and 29 years, including the ARC, the ACIAR, the Institute of Criminology and NCRIS. Seven of those 19 programs are no longer operating. </w:t>
      </w:r>
    </w:p>
    <w:p w14:paraId="1FE3A2F1" w14:textId="15F77086" w:rsidR="001B38AE" w:rsidRDefault="001B38AE" w:rsidP="001B38AE">
      <w:pPr>
        <w:pStyle w:val="ListParagraph"/>
        <w:numPr>
          <w:ilvl w:val="0"/>
          <w:numId w:val="24"/>
        </w:numPr>
        <w:rPr>
          <w:rFonts w:eastAsia="Aptos"/>
        </w:rPr>
      </w:pPr>
      <w:r>
        <w:rPr>
          <w:rFonts w:eastAsia="Aptos"/>
        </w:rPr>
        <w:t xml:space="preserve">109 </w:t>
      </w:r>
      <w:r w:rsidRPr="00B370D3">
        <w:rPr>
          <w:rFonts w:eastAsia="Aptos"/>
        </w:rPr>
        <w:t>(</w:t>
      </w:r>
      <w:r>
        <w:rPr>
          <w:rFonts w:eastAsia="Aptos"/>
        </w:rPr>
        <w:t>18.1%</w:t>
      </w:r>
      <w:r w:rsidRPr="00B370D3">
        <w:rPr>
          <w:rFonts w:eastAsia="Aptos"/>
        </w:rPr>
        <w:t>) have lasted between 10 and 19 years, including the RDTI, the university Research Training and Research Support Programs and the MRFF. Just under half of the programs in this grouping no longer operate due to the termination of funding agreements,</w:t>
      </w:r>
      <w:r w:rsidR="00D85049">
        <w:rPr>
          <w:rFonts w:eastAsia="Aptos"/>
        </w:rPr>
        <w:t xml:space="preserve"> </w:t>
      </w:r>
      <w:r w:rsidRPr="00B370D3">
        <w:rPr>
          <w:rFonts w:eastAsia="Aptos"/>
        </w:rPr>
        <w:t xml:space="preserve">absorption into other programs, or budget decisions not to continue. </w:t>
      </w:r>
    </w:p>
    <w:p w14:paraId="7AEEC403" w14:textId="77777777" w:rsidR="001B38AE" w:rsidRPr="00B370D3" w:rsidRDefault="001B38AE" w:rsidP="001B38AE">
      <w:pPr>
        <w:pStyle w:val="ListParagraph"/>
        <w:numPr>
          <w:ilvl w:val="0"/>
          <w:numId w:val="24"/>
        </w:numPr>
        <w:rPr>
          <w:rFonts w:eastAsia="Aptos"/>
        </w:rPr>
      </w:pPr>
      <w:r>
        <w:rPr>
          <w:rFonts w:eastAsia="Aptos"/>
        </w:rPr>
        <w:t>153 (25.4%) programs have operated between 5 and nine years</w:t>
      </w:r>
    </w:p>
    <w:p w14:paraId="34E2A216" w14:textId="77777777" w:rsidR="001B38AE" w:rsidRDefault="001B38AE" w:rsidP="001B38AE">
      <w:pPr>
        <w:pStyle w:val="ListParagraph"/>
        <w:numPr>
          <w:ilvl w:val="0"/>
          <w:numId w:val="24"/>
        </w:numPr>
        <w:rPr>
          <w:rFonts w:eastAsia="Aptos"/>
        </w:rPr>
      </w:pPr>
      <w:r w:rsidRPr="00B370D3">
        <w:rPr>
          <w:rFonts w:eastAsia="Aptos"/>
        </w:rPr>
        <w:t>222 (36.9%) have operated between two and four years</w:t>
      </w:r>
    </w:p>
    <w:p w14:paraId="7570F2F1" w14:textId="77777777" w:rsidR="001B38AE" w:rsidRPr="00B370D3" w:rsidRDefault="001B38AE" w:rsidP="001B38AE">
      <w:pPr>
        <w:pStyle w:val="ListParagraph"/>
        <w:numPr>
          <w:ilvl w:val="0"/>
          <w:numId w:val="24"/>
        </w:numPr>
        <w:rPr>
          <w:rFonts w:eastAsia="Aptos"/>
        </w:rPr>
      </w:pPr>
      <w:r>
        <w:rPr>
          <w:rFonts w:eastAsia="Aptos"/>
        </w:rPr>
        <w:t xml:space="preserve">75 </w:t>
      </w:r>
      <w:r w:rsidRPr="00B370D3">
        <w:rPr>
          <w:rFonts w:eastAsia="Aptos"/>
        </w:rPr>
        <w:t>(12.5%) were in existence for one year. These later programs are predominantly for one-off payments.</w:t>
      </w:r>
    </w:p>
    <w:p w14:paraId="0924F64C" w14:textId="444B220F" w:rsidR="001B38AE" w:rsidRDefault="001B38AE" w:rsidP="001B38AE">
      <w:pPr>
        <w:rPr>
          <w:rFonts w:eastAsia="Aptos"/>
        </w:rPr>
      </w:pPr>
      <w:r>
        <w:rPr>
          <w:rFonts w:eastAsia="Aptos"/>
        </w:rPr>
        <w:lastRenderedPageBreak/>
        <w:t xml:space="preserve">A profile of the life span of programs/activities and the average value in each category is provided in </w:t>
      </w:r>
      <w:r>
        <w:rPr>
          <w:rFonts w:eastAsia="Aptos"/>
        </w:rPr>
        <w:fldChar w:fldCharType="begin"/>
      </w:r>
      <w:r>
        <w:rPr>
          <w:rFonts w:eastAsia="Aptos"/>
        </w:rPr>
        <w:instrText xml:space="preserve"> REF _Ref159509786 \h </w:instrText>
      </w:r>
      <w:r>
        <w:rPr>
          <w:rFonts w:eastAsia="Aptos"/>
        </w:rPr>
      </w:r>
      <w:r>
        <w:rPr>
          <w:rFonts w:eastAsia="Aptos"/>
        </w:rPr>
        <w:fldChar w:fldCharType="separate"/>
      </w:r>
      <w:r w:rsidR="00875974">
        <w:t xml:space="preserve">Figure </w:t>
      </w:r>
      <w:r w:rsidR="00875974">
        <w:rPr>
          <w:noProof/>
        </w:rPr>
        <w:t>13</w:t>
      </w:r>
      <w:r>
        <w:rPr>
          <w:rFonts w:eastAsia="Aptos"/>
        </w:rPr>
        <w:fldChar w:fldCharType="end"/>
      </w:r>
      <w:r>
        <w:rPr>
          <w:rFonts w:eastAsia="Aptos"/>
        </w:rPr>
        <w:t xml:space="preserve">. </w:t>
      </w:r>
    </w:p>
    <w:p w14:paraId="6A098711" w14:textId="637ECC6F" w:rsidR="001B38AE" w:rsidRDefault="001B38AE" w:rsidP="001B38AE">
      <w:pPr>
        <w:pStyle w:val="Caption"/>
        <w:keepNext/>
        <w:spacing w:before="0" w:after="0"/>
      </w:pPr>
      <w:bookmarkStart w:id="45" w:name="_Ref159509786"/>
      <w:bookmarkStart w:id="46" w:name="_Toc160445141"/>
      <w:r>
        <w:t xml:space="preserve">Figure </w:t>
      </w:r>
      <w:r w:rsidR="00157FCC">
        <w:fldChar w:fldCharType="begin"/>
      </w:r>
      <w:r w:rsidR="00157FCC">
        <w:instrText xml:space="preserve"> SEQ Figure \* ARABIC </w:instrText>
      </w:r>
      <w:r w:rsidR="00157FCC">
        <w:fldChar w:fldCharType="separate"/>
      </w:r>
      <w:r w:rsidR="00875974">
        <w:rPr>
          <w:noProof/>
        </w:rPr>
        <w:t>13</w:t>
      </w:r>
      <w:r w:rsidR="00157FCC">
        <w:fldChar w:fldCharType="end"/>
      </w:r>
      <w:bookmarkEnd w:id="45"/>
      <w:r>
        <w:t xml:space="preserve">: The comparative lifespan of R&amp;D </w:t>
      </w:r>
      <w:r w:rsidR="007F180D">
        <w:t xml:space="preserve">investment </w:t>
      </w:r>
      <w:r>
        <w:t>programs</w:t>
      </w:r>
      <w:bookmarkEnd w:id="46"/>
    </w:p>
    <w:p w14:paraId="0A8F7FA1" w14:textId="77777777" w:rsidR="001B38AE" w:rsidRDefault="001B38AE" w:rsidP="001B38AE">
      <w:pPr>
        <w:keepNext/>
        <w:spacing w:before="0" w:after="0"/>
        <w:jc w:val="center"/>
      </w:pPr>
      <w:r>
        <w:rPr>
          <w:noProof/>
          <w14:ligatures w14:val="standardContextual"/>
        </w:rPr>
        <w:drawing>
          <wp:inline distT="0" distB="0" distL="0" distR="0" wp14:anchorId="5A39C61B" wp14:editId="7571CF39">
            <wp:extent cx="4752000" cy="2512800"/>
            <wp:effectExtent l="12700" t="12700" r="10795" b="14605"/>
            <wp:docPr id="1508278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278098" name=""/>
                    <pic:cNvPicPr/>
                  </pic:nvPicPr>
                  <pic:blipFill>
                    <a:blip r:embed="rId28"/>
                    <a:stretch>
                      <a:fillRect/>
                    </a:stretch>
                  </pic:blipFill>
                  <pic:spPr>
                    <a:xfrm>
                      <a:off x="0" y="0"/>
                      <a:ext cx="4752000" cy="2512800"/>
                    </a:xfrm>
                    <a:prstGeom prst="rect">
                      <a:avLst/>
                    </a:prstGeom>
                    <a:ln>
                      <a:solidFill>
                        <a:schemeClr val="accent1"/>
                      </a:solidFill>
                    </a:ln>
                  </pic:spPr>
                </pic:pic>
              </a:graphicData>
            </a:graphic>
          </wp:inline>
        </w:drawing>
      </w:r>
    </w:p>
    <w:p w14:paraId="3E1FFEE8" w14:textId="51CFCF5A" w:rsidR="001B38AE" w:rsidRPr="001E7103" w:rsidRDefault="001C7EDD" w:rsidP="001B38AE">
      <w:pPr>
        <w:keepNext/>
        <w:spacing w:before="0" w:after="0"/>
        <w:ind w:firstLine="720"/>
        <w:rPr>
          <w:sz w:val="16"/>
          <w:szCs w:val="16"/>
        </w:rPr>
      </w:pPr>
      <w:r>
        <w:rPr>
          <w:sz w:val="16"/>
          <w:szCs w:val="16"/>
        </w:rPr>
        <w:t xml:space="preserve">Source: </w:t>
      </w:r>
      <w:r w:rsidR="001B38AE" w:rsidRPr="001E7103">
        <w:rPr>
          <w:sz w:val="16"/>
          <w:szCs w:val="16"/>
        </w:rPr>
        <w:t>SRI Budget Tables</w:t>
      </w:r>
    </w:p>
    <w:p w14:paraId="6C82E5B1" w14:textId="1FA4E217" w:rsidR="001B38AE" w:rsidRDefault="001B38AE" w:rsidP="001B38AE">
      <w:pPr>
        <w:rPr>
          <w:rFonts w:eastAsia="Aptos"/>
        </w:rPr>
      </w:pPr>
      <w:r>
        <w:rPr>
          <w:rFonts w:eastAsia="Aptos"/>
        </w:rPr>
        <w:fldChar w:fldCharType="begin"/>
      </w:r>
      <w:r>
        <w:rPr>
          <w:rFonts w:eastAsia="Aptos"/>
        </w:rPr>
        <w:instrText xml:space="preserve"> REF _Ref159509786 \h </w:instrText>
      </w:r>
      <w:r>
        <w:rPr>
          <w:rFonts w:eastAsia="Aptos"/>
        </w:rPr>
      </w:r>
      <w:r>
        <w:rPr>
          <w:rFonts w:eastAsia="Aptos"/>
        </w:rPr>
        <w:fldChar w:fldCharType="separate"/>
      </w:r>
      <w:r w:rsidR="00875974">
        <w:t xml:space="preserve">Figure </w:t>
      </w:r>
      <w:r w:rsidR="00875974">
        <w:rPr>
          <w:noProof/>
        </w:rPr>
        <w:t>13</w:t>
      </w:r>
      <w:r>
        <w:rPr>
          <w:rFonts w:eastAsia="Aptos"/>
        </w:rPr>
        <w:fldChar w:fldCharType="end"/>
      </w:r>
      <w:r w:rsidR="00D85049">
        <w:rPr>
          <w:rFonts w:eastAsia="Aptos"/>
        </w:rPr>
        <w:t xml:space="preserve"> </w:t>
      </w:r>
      <w:r>
        <w:rPr>
          <w:rFonts w:eastAsia="Aptos"/>
        </w:rPr>
        <w:t xml:space="preserve">indicates </w:t>
      </w:r>
      <w:r w:rsidR="00804A2E">
        <w:rPr>
          <w:rFonts w:eastAsia="Aptos"/>
        </w:rPr>
        <w:t>several</w:t>
      </w:r>
      <w:r>
        <w:rPr>
          <w:rFonts w:eastAsia="Aptos"/>
        </w:rPr>
        <w:t xml:space="preserve"> programs </w:t>
      </w:r>
      <w:r w:rsidR="00804A2E">
        <w:rPr>
          <w:rFonts w:eastAsia="Aptos"/>
        </w:rPr>
        <w:t xml:space="preserve">are </w:t>
      </w:r>
      <w:r>
        <w:rPr>
          <w:rFonts w:eastAsia="Aptos"/>
        </w:rPr>
        <w:t>firmly embedded in the profile of R&amp;D investment.</w:t>
      </w:r>
      <w:r w:rsidR="00D85049">
        <w:rPr>
          <w:rFonts w:eastAsia="Aptos"/>
        </w:rPr>
        <w:t xml:space="preserve"> </w:t>
      </w:r>
      <w:r>
        <w:rPr>
          <w:rFonts w:eastAsia="Aptos"/>
        </w:rPr>
        <w:t>However, there has been a transitory element of small, short-term activities.</w:t>
      </w:r>
      <w:r w:rsidR="00D85049">
        <w:rPr>
          <w:rFonts w:eastAsia="Aptos"/>
        </w:rPr>
        <w:t xml:space="preserve"> </w:t>
      </w:r>
    </w:p>
    <w:p w14:paraId="74B2A837" w14:textId="33BC1214" w:rsidR="001B38AE" w:rsidRDefault="001B38AE" w:rsidP="001B38AE">
      <w:pPr>
        <w:pStyle w:val="Heading2"/>
        <w:rPr>
          <w:rFonts w:eastAsia="Aptos"/>
        </w:rPr>
      </w:pPr>
      <w:bookmarkStart w:id="47" w:name="_Toc160026280"/>
      <w:bookmarkStart w:id="48" w:name="_Toc160445126"/>
      <w:r>
        <w:rPr>
          <w:rFonts w:eastAsia="Aptos"/>
        </w:rPr>
        <w:t xml:space="preserve">Investment </w:t>
      </w:r>
      <w:r w:rsidR="00726E6D">
        <w:rPr>
          <w:rFonts w:eastAsia="Aptos"/>
        </w:rPr>
        <w:t>t</w:t>
      </w:r>
      <w:r>
        <w:rPr>
          <w:rFonts w:eastAsia="Aptos"/>
        </w:rPr>
        <w:t xml:space="preserve">rends in </w:t>
      </w:r>
      <w:r w:rsidR="00726E6D">
        <w:rPr>
          <w:rFonts w:eastAsia="Aptos"/>
        </w:rPr>
        <w:t>o</w:t>
      </w:r>
      <w:r>
        <w:rPr>
          <w:rFonts w:eastAsia="Aptos"/>
        </w:rPr>
        <w:t xml:space="preserve">ther SRI </w:t>
      </w:r>
      <w:r w:rsidR="00726E6D">
        <w:rPr>
          <w:rFonts w:eastAsia="Aptos"/>
        </w:rPr>
        <w:t>p</w:t>
      </w:r>
      <w:r>
        <w:rPr>
          <w:rFonts w:eastAsia="Aptos"/>
        </w:rPr>
        <w:t>rograms</w:t>
      </w:r>
      <w:bookmarkEnd w:id="47"/>
      <w:bookmarkEnd w:id="48"/>
      <w:r>
        <w:rPr>
          <w:rFonts w:eastAsia="Aptos"/>
        </w:rPr>
        <w:t xml:space="preserve"> </w:t>
      </w:r>
    </w:p>
    <w:p w14:paraId="04EC3BFF" w14:textId="77777777" w:rsidR="001B38AE" w:rsidRDefault="001B38AE" w:rsidP="001B38AE">
      <w:pPr>
        <w:rPr>
          <w:rFonts w:eastAsia="Aptos"/>
          <w:szCs w:val="22"/>
        </w:rPr>
      </w:pPr>
      <w:r>
        <w:rPr>
          <w:rFonts w:eastAsia="Aptos"/>
        </w:rPr>
        <w:t xml:space="preserve">An important component of the </w:t>
      </w:r>
      <w:r w:rsidRPr="00D10CAC">
        <w:rPr>
          <w:rFonts w:eastAsia="Aptos"/>
          <w:i/>
          <w:iCs/>
        </w:rPr>
        <w:t>SRI Budget Tables</w:t>
      </w:r>
      <w:r>
        <w:rPr>
          <w:rFonts w:eastAsia="Aptos"/>
        </w:rPr>
        <w:t xml:space="preserve"> is investment in </w:t>
      </w:r>
      <w:r w:rsidRPr="00D10CAC">
        <w:rPr>
          <w:rFonts w:eastAsia="Aptos"/>
          <w:i/>
          <w:iCs/>
        </w:rPr>
        <w:t>Other (non-R&amp;D)</w:t>
      </w:r>
      <w:r>
        <w:rPr>
          <w:rFonts w:eastAsia="Aptos"/>
        </w:rPr>
        <w:t xml:space="preserve"> programs. These include </w:t>
      </w:r>
      <w:r>
        <w:rPr>
          <w:rFonts w:eastAsia="Aptos"/>
          <w:szCs w:val="22"/>
        </w:rPr>
        <w:t>the Industry Growth program, the Moon to Mars initiative, the Business Research and Innovation Program, Questacon, and the previous Entrepreneurs program. It does not include estimates of expenditures or loans relating to the National Reconstruction Fund. Geoscience Australia was added to the tabulation in 2021-22.</w:t>
      </w:r>
    </w:p>
    <w:p w14:paraId="75C65C68" w14:textId="718FF86C" w:rsidR="001B38AE" w:rsidRDefault="001B38AE" w:rsidP="001B38AE">
      <w:pPr>
        <w:rPr>
          <w:rFonts w:eastAsia="Aptos"/>
        </w:rPr>
      </w:pPr>
      <w:r>
        <w:rPr>
          <w:rFonts w:eastAsia="Aptos"/>
          <w:szCs w:val="22"/>
        </w:rPr>
        <w:t xml:space="preserve">Total investment peaked in 2020-21. </w:t>
      </w:r>
      <w:r>
        <w:rPr>
          <w:rFonts w:eastAsia="Aptos"/>
        </w:rPr>
        <w:t>Trends are shown in</w:t>
      </w:r>
      <w:r w:rsidR="00D85049">
        <w:rPr>
          <w:rFonts w:eastAsia="Aptos"/>
        </w:rPr>
        <w:t xml:space="preserve"> </w:t>
      </w:r>
      <w:r>
        <w:rPr>
          <w:rFonts w:eastAsia="Aptos"/>
        </w:rPr>
        <w:fldChar w:fldCharType="begin"/>
      </w:r>
      <w:r>
        <w:rPr>
          <w:rFonts w:eastAsia="Aptos"/>
        </w:rPr>
        <w:instrText xml:space="preserve"> REF _Ref160097060 \h </w:instrText>
      </w:r>
      <w:r>
        <w:rPr>
          <w:rFonts w:eastAsia="Aptos"/>
        </w:rPr>
      </w:r>
      <w:r>
        <w:rPr>
          <w:rFonts w:eastAsia="Aptos"/>
        </w:rPr>
        <w:fldChar w:fldCharType="separate"/>
      </w:r>
      <w:r w:rsidR="00875974">
        <w:t xml:space="preserve">Figure </w:t>
      </w:r>
      <w:r w:rsidR="00875974">
        <w:rPr>
          <w:noProof/>
        </w:rPr>
        <w:t>14</w:t>
      </w:r>
      <w:r>
        <w:rPr>
          <w:rFonts w:eastAsia="Aptos"/>
        </w:rPr>
        <w:fldChar w:fldCharType="end"/>
      </w:r>
      <w:r w:rsidR="00933726">
        <w:rPr>
          <w:rFonts w:eastAsia="Aptos"/>
        </w:rPr>
        <w:t>.</w:t>
      </w:r>
    </w:p>
    <w:p w14:paraId="55D3F984" w14:textId="7E30C8E0" w:rsidR="001B38AE" w:rsidRDefault="001B38AE" w:rsidP="001B38AE">
      <w:pPr>
        <w:pStyle w:val="Caption"/>
        <w:keepNext/>
        <w:spacing w:before="0" w:after="0"/>
      </w:pPr>
      <w:bookmarkStart w:id="49" w:name="_Ref160097060"/>
      <w:bookmarkStart w:id="50" w:name="_Toc160445142"/>
      <w:r>
        <w:t xml:space="preserve">Figure </w:t>
      </w:r>
      <w:r w:rsidR="00157FCC">
        <w:fldChar w:fldCharType="begin"/>
      </w:r>
      <w:r w:rsidR="00157FCC">
        <w:instrText xml:space="preserve"> SEQ Figure \* ARABIC </w:instrText>
      </w:r>
      <w:r w:rsidR="00157FCC">
        <w:fldChar w:fldCharType="separate"/>
      </w:r>
      <w:r w:rsidR="00875974">
        <w:rPr>
          <w:noProof/>
        </w:rPr>
        <w:t>14</w:t>
      </w:r>
      <w:r w:rsidR="00157FCC">
        <w:fldChar w:fldCharType="end"/>
      </w:r>
      <w:bookmarkEnd w:id="49"/>
      <w:r>
        <w:t xml:space="preserve">: </w:t>
      </w:r>
      <w:r w:rsidR="007F180D">
        <w:t>I</w:t>
      </w:r>
      <w:r>
        <w:t>nvestment Other SRI Programs</w:t>
      </w:r>
      <w:r w:rsidRPr="005B2CCD">
        <w:t xml:space="preserve"> </w:t>
      </w:r>
      <w:r>
        <w:t>2016-17—2023-24.</w:t>
      </w:r>
      <w:r w:rsidRPr="005B2CCD">
        <w:t xml:space="preserve"> </w:t>
      </w:r>
      <w:r>
        <w:t>$m (c</w:t>
      </w:r>
      <w:r w:rsidRPr="005B2CCD">
        <w:t xml:space="preserve">urrent </w:t>
      </w:r>
      <w:r>
        <w:t>p</w:t>
      </w:r>
      <w:r w:rsidRPr="005B2CCD">
        <w:t>rices</w:t>
      </w:r>
      <w:r w:rsidR="00933726">
        <w:t xml:space="preserve">, </w:t>
      </w:r>
      <w:r>
        <w:t>i</w:t>
      </w:r>
      <w:r w:rsidRPr="005B2CCD">
        <w:t>nflation</w:t>
      </w:r>
      <w:r>
        <w:t>-a</w:t>
      </w:r>
      <w:r w:rsidRPr="005B2CCD">
        <w:t>djusted</w:t>
      </w:r>
      <w:r w:rsidR="00933726">
        <w:t>)</w:t>
      </w:r>
      <w:bookmarkEnd w:id="50"/>
      <w:r w:rsidRPr="005B2CCD">
        <w:t xml:space="preserve"> </w:t>
      </w:r>
    </w:p>
    <w:p w14:paraId="401820FC" w14:textId="77777777" w:rsidR="001B38AE" w:rsidRPr="005B2CCD" w:rsidRDefault="001B38AE" w:rsidP="001B38AE">
      <w:pPr>
        <w:spacing w:before="0" w:after="0"/>
        <w:jc w:val="center"/>
        <w:rPr>
          <w:rFonts w:eastAsia="Aptos"/>
          <w:szCs w:val="22"/>
        </w:rPr>
      </w:pPr>
      <w:r>
        <w:rPr>
          <w:noProof/>
          <w14:ligatures w14:val="standardContextual"/>
        </w:rPr>
        <w:drawing>
          <wp:inline distT="0" distB="0" distL="0" distR="0" wp14:anchorId="2A27C09C" wp14:editId="5214E0BC">
            <wp:extent cx="4752000" cy="2361600"/>
            <wp:effectExtent l="12700" t="12700" r="10795" b="13335"/>
            <wp:docPr id="4514230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423090" name=""/>
                    <pic:cNvPicPr/>
                  </pic:nvPicPr>
                  <pic:blipFill rotWithShape="1">
                    <a:blip r:embed="rId29"/>
                    <a:srcRect t="15223"/>
                    <a:stretch/>
                  </pic:blipFill>
                  <pic:spPr bwMode="auto">
                    <a:xfrm>
                      <a:off x="0" y="0"/>
                      <a:ext cx="4752000" cy="23616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78B629D4" w14:textId="77777777" w:rsidR="001B38AE" w:rsidRDefault="001B38AE" w:rsidP="001B38AE">
      <w:pPr>
        <w:spacing w:before="0" w:after="0"/>
        <w:ind w:left="720"/>
        <w:rPr>
          <w:rFonts w:eastAsia="Aptos"/>
          <w:szCs w:val="22"/>
        </w:rPr>
      </w:pPr>
      <w:r w:rsidRPr="005B2CCD">
        <w:rPr>
          <w:rFonts w:eastAsia="Aptos"/>
          <w:sz w:val="16"/>
          <w:szCs w:val="16"/>
        </w:rPr>
        <w:t xml:space="preserve">Source: SRI </w:t>
      </w:r>
      <w:r>
        <w:rPr>
          <w:rFonts w:eastAsia="Aptos"/>
          <w:sz w:val="16"/>
          <w:szCs w:val="16"/>
        </w:rPr>
        <w:t xml:space="preserve">Budget </w:t>
      </w:r>
      <w:r w:rsidRPr="005B2CCD">
        <w:rPr>
          <w:rFonts w:eastAsia="Aptos"/>
          <w:sz w:val="16"/>
          <w:szCs w:val="16"/>
        </w:rPr>
        <w:t>Tables</w:t>
      </w:r>
      <w:r>
        <w:rPr>
          <w:rFonts w:eastAsia="Aptos"/>
          <w:sz w:val="16"/>
          <w:szCs w:val="16"/>
        </w:rPr>
        <w:t xml:space="preserve">; Includes </w:t>
      </w:r>
      <w:r w:rsidRPr="005B2CCD">
        <w:rPr>
          <w:rFonts w:eastAsia="Aptos"/>
          <w:sz w:val="16"/>
          <w:szCs w:val="16"/>
        </w:rPr>
        <w:t xml:space="preserve">Geoscience Australia expenditure </w:t>
      </w:r>
      <w:r>
        <w:rPr>
          <w:rFonts w:eastAsia="Aptos"/>
          <w:sz w:val="16"/>
          <w:szCs w:val="16"/>
        </w:rPr>
        <w:t xml:space="preserve">of </w:t>
      </w:r>
      <w:r w:rsidRPr="005B2CCD">
        <w:rPr>
          <w:rFonts w:eastAsia="Aptos"/>
          <w:sz w:val="16"/>
          <w:szCs w:val="16"/>
        </w:rPr>
        <w:t>$218.3m 2021-22</w:t>
      </w:r>
      <w:r>
        <w:rPr>
          <w:rFonts w:eastAsia="Aptos"/>
          <w:sz w:val="16"/>
          <w:szCs w:val="16"/>
        </w:rPr>
        <w:t>,</w:t>
      </w:r>
      <w:r w:rsidRPr="005B2CCD">
        <w:rPr>
          <w:rFonts w:eastAsia="Aptos"/>
          <w:sz w:val="16"/>
          <w:szCs w:val="16"/>
        </w:rPr>
        <w:t xml:space="preserve"> $279.6m in 2022</w:t>
      </w:r>
      <w:r>
        <w:rPr>
          <w:rFonts w:eastAsia="Aptos"/>
          <w:sz w:val="16"/>
          <w:szCs w:val="16"/>
        </w:rPr>
        <w:t>-</w:t>
      </w:r>
      <w:r w:rsidRPr="005B2CCD">
        <w:rPr>
          <w:rFonts w:eastAsia="Aptos"/>
          <w:sz w:val="16"/>
          <w:szCs w:val="16"/>
        </w:rPr>
        <w:t xml:space="preserve">23, </w:t>
      </w:r>
      <w:r>
        <w:rPr>
          <w:rFonts w:eastAsia="Aptos"/>
          <w:sz w:val="16"/>
          <w:szCs w:val="16"/>
        </w:rPr>
        <w:t xml:space="preserve">and </w:t>
      </w:r>
      <w:r w:rsidRPr="005B2CCD">
        <w:rPr>
          <w:rFonts w:eastAsia="Aptos"/>
          <w:sz w:val="16"/>
          <w:szCs w:val="16"/>
        </w:rPr>
        <w:t>$289.5m in 2023-24</w:t>
      </w:r>
    </w:p>
    <w:p w14:paraId="7F6F9263" w14:textId="107831DF" w:rsidR="001B38AE" w:rsidRDefault="001B38AE" w:rsidP="001B38AE">
      <w:pPr>
        <w:rPr>
          <w:rFonts w:eastAsia="Aptos"/>
          <w:szCs w:val="22"/>
        </w:rPr>
      </w:pPr>
      <w:r>
        <w:rPr>
          <w:rFonts w:eastAsia="Aptos"/>
        </w:rPr>
        <w:lastRenderedPageBreak/>
        <w:t xml:space="preserve">The SRI data indicates that there has been an increase in the number of </w:t>
      </w:r>
      <w:r w:rsidRPr="004E19BB">
        <w:rPr>
          <w:rFonts w:eastAsia="Aptos"/>
          <w:i/>
          <w:iCs/>
        </w:rPr>
        <w:t>Other (non</w:t>
      </w:r>
      <w:r>
        <w:rPr>
          <w:rFonts w:eastAsia="Aptos"/>
          <w:i/>
          <w:iCs/>
        </w:rPr>
        <w:t>-</w:t>
      </w:r>
      <w:r w:rsidRPr="004E19BB">
        <w:rPr>
          <w:rFonts w:eastAsia="Aptos"/>
          <w:i/>
          <w:iCs/>
        </w:rPr>
        <w:t>R&amp;D)</w:t>
      </w:r>
      <w:r>
        <w:rPr>
          <w:rFonts w:eastAsia="Aptos"/>
        </w:rPr>
        <w:t xml:space="preserve"> programs—from 54 in 2016-17 to 81 in 2023-24. </w:t>
      </w:r>
      <w:r>
        <w:rPr>
          <w:rFonts w:eastAsia="Aptos"/>
          <w:szCs w:val="22"/>
        </w:rPr>
        <w:t xml:space="preserve">The trends since 2016-17 are illustrated in </w:t>
      </w:r>
      <w:r>
        <w:rPr>
          <w:rFonts w:eastAsia="Aptos"/>
          <w:szCs w:val="22"/>
        </w:rPr>
        <w:fldChar w:fldCharType="begin"/>
      </w:r>
      <w:r>
        <w:rPr>
          <w:rFonts w:eastAsia="Aptos"/>
          <w:szCs w:val="22"/>
        </w:rPr>
        <w:instrText xml:space="preserve"> REF _Ref159412362 \h </w:instrText>
      </w:r>
      <w:r>
        <w:rPr>
          <w:rFonts w:eastAsia="Aptos"/>
          <w:szCs w:val="22"/>
        </w:rPr>
      </w:r>
      <w:r>
        <w:rPr>
          <w:rFonts w:eastAsia="Aptos"/>
          <w:szCs w:val="22"/>
        </w:rPr>
        <w:fldChar w:fldCharType="separate"/>
      </w:r>
      <w:r w:rsidR="00875974">
        <w:t xml:space="preserve">Figure </w:t>
      </w:r>
      <w:r w:rsidR="00875974">
        <w:rPr>
          <w:noProof/>
        </w:rPr>
        <w:t>15</w:t>
      </w:r>
      <w:r>
        <w:rPr>
          <w:rFonts w:eastAsia="Aptos"/>
          <w:szCs w:val="22"/>
        </w:rPr>
        <w:fldChar w:fldCharType="end"/>
      </w:r>
      <w:r>
        <w:rPr>
          <w:rFonts w:eastAsia="Aptos"/>
          <w:szCs w:val="22"/>
        </w:rPr>
        <w:t xml:space="preserve">. </w:t>
      </w:r>
    </w:p>
    <w:p w14:paraId="764FE137" w14:textId="3D4A4D1D" w:rsidR="001B38AE" w:rsidRDefault="001B38AE" w:rsidP="001B38AE">
      <w:pPr>
        <w:pStyle w:val="Caption"/>
        <w:keepNext/>
        <w:spacing w:before="0" w:after="0"/>
      </w:pPr>
      <w:bookmarkStart w:id="51" w:name="_Ref159412362"/>
      <w:bookmarkStart w:id="52" w:name="_Toc160445143"/>
      <w:r>
        <w:t xml:space="preserve">Figure </w:t>
      </w:r>
      <w:r w:rsidR="00157FCC">
        <w:fldChar w:fldCharType="begin"/>
      </w:r>
      <w:r w:rsidR="00157FCC">
        <w:instrText xml:space="preserve"> SEQ Figure \* ARABIC </w:instrText>
      </w:r>
      <w:r w:rsidR="00157FCC">
        <w:fldChar w:fldCharType="separate"/>
      </w:r>
      <w:r w:rsidR="00875974">
        <w:rPr>
          <w:noProof/>
        </w:rPr>
        <w:t>15</w:t>
      </w:r>
      <w:r w:rsidR="00157FCC">
        <w:fldChar w:fldCharType="end"/>
      </w:r>
      <w:bookmarkEnd w:id="51"/>
      <w:r>
        <w:t xml:space="preserve">: </w:t>
      </w:r>
      <w:r w:rsidRPr="007E5EB4">
        <w:t>Count of</w:t>
      </w:r>
      <w:r>
        <w:t xml:space="preserve"> Other Innovation </w:t>
      </w:r>
      <w:r w:rsidRPr="007E5EB4">
        <w:t>programs/activities</w:t>
      </w:r>
      <w:r>
        <w:t xml:space="preserve"> (number)</w:t>
      </w:r>
      <w:bookmarkEnd w:id="52"/>
    </w:p>
    <w:p w14:paraId="717FE18E" w14:textId="77777777" w:rsidR="001B38AE" w:rsidRDefault="001B38AE" w:rsidP="001B38AE">
      <w:pPr>
        <w:spacing w:before="0" w:after="0"/>
        <w:jc w:val="center"/>
        <w:rPr>
          <w:rFonts w:eastAsia="Aptos"/>
          <w:szCs w:val="22"/>
        </w:rPr>
      </w:pPr>
      <w:r>
        <w:rPr>
          <w:noProof/>
          <w14:ligatures w14:val="standardContextual"/>
        </w:rPr>
        <w:drawing>
          <wp:inline distT="0" distB="0" distL="0" distR="0" wp14:anchorId="05FE71C1" wp14:editId="0D5EAA58">
            <wp:extent cx="4752000" cy="1839600"/>
            <wp:effectExtent l="12700" t="12700" r="10795" b="14605"/>
            <wp:docPr id="74835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53803" name=""/>
                    <pic:cNvPicPr/>
                  </pic:nvPicPr>
                  <pic:blipFill rotWithShape="1">
                    <a:blip r:embed="rId30"/>
                    <a:srcRect t="20297"/>
                    <a:stretch/>
                  </pic:blipFill>
                  <pic:spPr bwMode="auto">
                    <a:xfrm>
                      <a:off x="0" y="0"/>
                      <a:ext cx="4752000" cy="18396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51FCF80D" w14:textId="77777777" w:rsidR="001B38AE" w:rsidRPr="00B01BE3" w:rsidRDefault="001B38AE" w:rsidP="001B38AE">
      <w:pPr>
        <w:spacing w:before="0" w:after="0"/>
        <w:ind w:firstLine="720"/>
        <w:rPr>
          <w:rFonts w:eastAsia="Aptos"/>
          <w:sz w:val="16"/>
          <w:szCs w:val="16"/>
        </w:rPr>
      </w:pPr>
      <w:r w:rsidRPr="00B01BE3">
        <w:rPr>
          <w:rFonts w:eastAsia="Aptos"/>
          <w:sz w:val="16"/>
          <w:szCs w:val="16"/>
        </w:rPr>
        <w:t>Source: SRI Budget Tables</w:t>
      </w:r>
    </w:p>
    <w:p w14:paraId="70C4E11D" w14:textId="22139CB1" w:rsidR="001B38AE" w:rsidRDefault="001B38AE" w:rsidP="001B38AE">
      <w:pPr>
        <w:rPr>
          <w:rFonts w:eastAsia="Aptos"/>
          <w:szCs w:val="22"/>
        </w:rPr>
      </w:pPr>
      <w:r w:rsidRPr="005B2CCD">
        <w:rPr>
          <w:rFonts w:eastAsia="Aptos"/>
          <w:szCs w:val="22"/>
        </w:rPr>
        <w:t xml:space="preserve">These numbers have been impacted by </w:t>
      </w:r>
      <w:r>
        <w:rPr>
          <w:rFonts w:eastAsia="Aptos"/>
          <w:szCs w:val="22"/>
        </w:rPr>
        <w:t>the shuffling of the funding deck and the loss of</w:t>
      </w:r>
      <w:r w:rsidRPr="005B2CCD">
        <w:rPr>
          <w:rFonts w:eastAsia="Aptos"/>
          <w:szCs w:val="22"/>
        </w:rPr>
        <w:t xml:space="preserve"> a few cards since NISA in 2016. As we all know, there was no new funding for NISA, and there hasn’t been for the latest iteration of the </w:t>
      </w:r>
      <w:r>
        <w:rPr>
          <w:rFonts w:eastAsia="Aptos"/>
          <w:szCs w:val="22"/>
        </w:rPr>
        <w:t xml:space="preserve">Industry </w:t>
      </w:r>
      <w:r w:rsidRPr="005B2CCD">
        <w:rPr>
          <w:rFonts w:eastAsia="Aptos"/>
          <w:szCs w:val="22"/>
        </w:rPr>
        <w:t xml:space="preserve">Growth Program. </w:t>
      </w:r>
      <w:r>
        <w:rPr>
          <w:rFonts w:eastAsia="Aptos"/>
          <w:szCs w:val="22"/>
        </w:rPr>
        <w:t>T</w:t>
      </w:r>
      <w:r w:rsidR="003C07B7">
        <w:rPr>
          <w:rFonts w:eastAsia="Aptos"/>
          <w:szCs w:val="22"/>
        </w:rPr>
        <w:t>r</w:t>
      </w:r>
      <w:r>
        <w:rPr>
          <w:rFonts w:eastAsia="Aptos"/>
          <w:szCs w:val="22"/>
        </w:rPr>
        <w:t xml:space="preserve">ends in program expenditures are shown in </w:t>
      </w:r>
      <w:r>
        <w:rPr>
          <w:rFonts w:eastAsia="Aptos"/>
          <w:szCs w:val="22"/>
        </w:rPr>
        <w:fldChar w:fldCharType="begin"/>
      </w:r>
      <w:r>
        <w:rPr>
          <w:rFonts w:eastAsia="Aptos"/>
          <w:szCs w:val="22"/>
        </w:rPr>
        <w:instrText xml:space="preserve"> REF _Ref159409014 \h </w:instrText>
      </w:r>
      <w:r>
        <w:rPr>
          <w:rFonts w:eastAsia="Aptos"/>
          <w:szCs w:val="22"/>
        </w:rPr>
      </w:r>
      <w:r>
        <w:rPr>
          <w:rFonts w:eastAsia="Aptos"/>
          <w:szCs w:val="22"/>
        </w:rPr>
        <w:fldChar w:fldCharType="separate"/>
      </w:r>
      <w:r w:rsidR="00875974">
        <w:t xml:space="preserve">Figure </w:t>
      </w:r>
      <w:r w:rsidR="00875974">
        <w:rPr>
          <w:noProof/>
        </w:rPr>
        <w:t>16</w:t>
      </w:r>
      <w:r>
        <w:rPr>
          <w:rFonts w:eastAsia="Aptos"/>
          <w:szCs w:val="22"/>
        </w:rPr>
        <w:fldChar w:fldCharType="end"/>
      </w:r>
      <w:r>
        <w:rPr>
          <w:rFonts w:eastAsia="Aptos"/>
          <w:szCs w:val="22"/>
        </w:rPr>
        <w:t xml:space="preserve">. </w:t>
      </w:r>
    </w:p>
    <w:p w14:paraId="4BFCFFEF" w14:textId="655BAEB3" w:rsidR="001B38AE" w:rsidRDefault="001B38AE" w:rsidP="001B38AE">
      <w:pPr>
        <w:pStyle w:val="Caption"/>
        <w:keepNext/>
        <w:spacing w:before="0" w:after="0"/>
      </w:pPr>
      <w:bookmarkStart w:id="53" w:name="_Ref159409014"/>
      <w:bookmarkStart w:id="54" w:name="_Toc160445144"/>
      <w:r>
        <w:t xml:space="preserve">Figure </w:t>
      </w:r>
      <w:r w:rsidR="00157FCC">
        <w:fldChar w:fldCharType="begin"/>
      </w:r>
      <w:r w:rsidR="00157FCC">
        <w:instrText xml:space="preserve"> SEQ Figure \* ARABIC </w:instrText>
      </w:r>
      <w:r w:rsidR="00157FCC">
        <w:fldChar w:fldCharType="separate"/>
      </w:r>
      <w:r w:rsidR="00875974">
        <w:rPr>
          <w:noProof/>
        </w:rPr>
        <w:t>16</w:t>
      </w:r>
      <w:r w:rsidR="00157FCC">
        <w:fldChar w:fldCharType="end"/>
      </w:r>
      <w:bookmarkEnd w:id="53"/>
      <w:r>
        <w:t>: Trends in program items in Other SRI Programs $m (current prices)</w:t>
      </w:r>
      <w:bookmarkEnd w:id="54"/>
    </w:p>
    <w:p w14:paraId="43F34AF7" w14:textId="77777777" w:rsidR="001B38AE" w:rsidRDefault="001B38AE" w:rsidP="001B38AE">
      <w:pPr>
        <w:spacing w:before="0" w:after="0"/>
        <w:jc w:val="center"/>
        <w:rPr>
          <w:rFonts w:eastAsia="Aptos"/>
          <w:szCs w:val="22"/>
        </w:rPr>
      </w:pPr>
      <w:r>
        <w:rPr>
          <w:noProof/>
          <w14:ligatures w14:val="standardContextual"/>
        </w:rPr>
        <w:drawing>
          <wp:inline distT="0" distB="0" distL="0" distR="0" wp14:anchorId="03B9B269" wp14:editId="05FE21B7">
            <wp:extent cx="4830372" cy="2051050"/>
            <wp:effectExtent l="12700" t="12700" r="8890" b="6350"/>
            <wp:docPr id="1998636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36593" name=""/>
                    <pic:cNvPicPr/>
                  </pic:nvPicPr>
                  <pic:blipFill rotWithShape="1">
                    <a:blip r:embed="rId31"/>
                    <a:srcRect t="14831"/>
                    <a:stretch/>
                  </pic:blipFill>
                  <pic:spPr bwMode="auto">
                    <a:xfrm>
                      <a:off x="0" y="0"/>
                      <a:ext cx="4849501" cy="2059173"/>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678FC915" w14:textId="5150E6A2" w:rsidR="001B38AE" w:rsidRPr="000C4121" w:rsidRDefault="001B38AE" w:rsidP="001B38AE">
      <w:pPr>
        <w:spacing w:before="6" w:after="6" w:line="228" w:lineRule="auto"/>
        <w:ind w:left="720"/>
        <w:rPr>
          <w:rFonts w:eastAsia="Aptos"/>
          <w:sz w:val="15"/>
          <w:szCs w:val="15"/>
        </w:rPr>
      </w:pPr>
      <w:r w:rsidRPr="000C4121">
        <w:rPr>
          <w:rFonts w:eastAsia="Aptos"/>
          <w:sz w:val="15"/>
          <w:szCs w:val="15"/>
        </w:rPr>
        <w:t>Source SRI Tables. This does not include Geoscience Australia's expenditure of $218.3m in 2021-22, $279.6m in 2022-23, $289.5m in 2023-24, $ 264.5m in 2024-25, $272.7m in 2025-26, and $346.7m in 2026-27.</w:t>
      </w:r>
      <w:r w:rsidR="00D85049">
        <w:rPr>
          <w:rFonts w:eastAsia="Aptos"/>
          <w:sz w:val="15"/>
          <w:szCs w:val="15"/>
        </w:rPr>
        <w:t xml:space="preserve"> </w:t>
      </w:r>
    </w:p>
    <w:p w14:paraId="1222254A" w14:textId="77777777" w:rsidR="001B38AE" w:rsidRPr="000C4121" w:rsidRDefault="001B38AE" w:rsidP="001B38AE">
      <w:pPr>
        <w:spacing w:before="60" w:after="0" w:line="228" w:lineRule="auto"/>
        <w:ind w:left="720"/>
        <w:rPr>
          <w:rFonts w:eastAsia="Aptos"/>
          <w:sz w:val="15"/>
          <w:szCs w:val="15"/>
        </w:rPr>
      </w:pPr>
      <w:r w:rsidRPr="000C4121">
        <w:rPr>
          <w:rFonts w:eastAsia="Aptos"/>
          <w:sz w:val="15"/>
          <w:szCs w:val="15"/>
        </w:rPr>
        <w:t xml:space="preserve">Included in the Other Category are relatively small amounts for: Automotive Innovation Lab Access Grants, Boosting Female Founders Initiative, Cyber Security Skills Business Connect and Protect, Daintree Microgrid Program, Data Integration Partnership for Australia, Digital Careers, Digital Directors, Digital Skills Finder Platform, Empowering Business to Go Digital ,Industry 4.0 </w:t>
      </w:r>
      <w:proofErr w:type="spellStart"/>
      <w:r w:rsidRPr="000C4121">
        <w:rPr>
          <w:rFonts w:eastAsia="Aptos"/>
          <w:sz w:val="15"/>
          <w:szCs w:val="15"/>
        </w:rPr>
        <w:t>Testlabs</w:t>
      </w:r>
      <w:proofErr w:type="spellEnd"/>
      <w:r w:rsidRPr="000C4121">
        <w:rPr>
          <w:rFonts w:eastAsia="Aptos"/>
          <w:sz w:val="15"/>
          <w:szCs w:val="15"/>
        </w:rPr>
        <w:t xml:space="preserve"> for Australia, Industry Innovation and Science Australia (IISA) Board, Inspiring Australia | Science Engagement Programme, International Science Council Asia Pacific Regional Office Program, International Space Investment Initiative, Local Industry Grants - </w:t>
      </w:r>
      <w:proofErr w:type="spellStart"/>
      <w:r w:rsidRPr="000C4121">
        <w:rPr>
          <w:rFonts w:eastAsia="Aptos"/>
          <w:sz w:val="15"/>
          <w:szCs w:val="15"/>
        </w:rPr>
        <w:t>Flinder's</w:t>
      </w:r>
      <w:proofErr w:type="spellEnd"/>
      <w:r w:rsidRPr="000C4121">
        <w:rPr>
          <w:rFonts w:eastAsia="Aptos"/>
          <w:sz w:val="15"/>
          <w:szCs w:val="15"/>
        </w:rPr>
        <w:t xml:space="preserve"> University Factory of the Future, National Quantum Strategy ($28m over 4 years), the National Science and Technology Council, Open Geocoded National Address File, Protecting Australia's National Interest in Critical ad Emerging Technologies Standards, Resources Methane Abatement Fund, Soil Carbon Measurement Innovation Challenge, Space Infrastructure Fund, Using blockchain technology to reduce business compliance costs, and Women in STEM initiatives. </w:t>
      </w:r>
    </w:p>
    <w:p w14:paraId="42FD489F" w14:textId="1A6B739C" w:rsidR="001B38AE" w:rsidRDefault="001B38AE" w:rsidP="001B38AE">
      <w:pPr>
        <w:rPr>
          <w:rFonts w:eastAsia="Aptos"/>
        </w:rPr>
      </w:pPr>
      <w:r>
        <w:rPr>
          <w:rFonts w:eastAsia="Aptos"/>
        </w:rPr>
        <w:t xml:space="preserve">Commitment to industry growth programs has been particularly unstable, as indicated in </w:t>
      </w:r>
      <w:r>
        <w:rPr>
          <w:rFonts w:eastAsia="Aptos"/>
        </w:rPr>
        <w:fldChar w:fldCharType="begin"/>
      </w:r>
      <w:r>
        <w:rPr>
          <w:rFonts w:eastAsia="Aptos"/>
        </w:rPr>
        <w:instrText xml:space="preserve"> REF _Ref159510313 \h </w:instrText>
      </w:r>
      <w:r>
        <w:rPr>
          <w:rFonts w:eastAsia="Aptos"/>
        </w:rPr>
      </w:r>
      <w:r>
        <w:rPr>
          <w:rFonts w:eastAsia="Aptos"/>
        </w:rPr>
        <w:fldChar w:fldCharType="separate"/>
      </w:r>
      <w:r w:rsidR="00875974">
        <w:t xml:space="preserve">Figure </w:t>
      </w:r>
      <w:r w:rsidR="00875974">
        <w:rPr>
          <w:noProof/>
        </w:rPr>
        <w:t>17</w:t>
      </w:r>
      <w:r>
        <w:rPr>
          <w:rFonts w:eastAsia="Aptos"/>
        </w:rPr>
        <w:fldChar w:fldCharType="end"/>
      </w:r>
      <w:r>
        <w:rPr>
          <w:rFonts w:eastAsia="Aptos"/>
        </w:rPr>
        <w:t>.</w:t>
      </w:r>
      <w:r w:rsidR="00D85049">
        <w:rPr>
          <w:rFonts w:eastAsia="Aptos"/>
        </w:rPr>
        <w:t xml:space="preserve"> </w:t>
      </w:r>
    </w:p>
    <w:p w14:paraId="09D7D335" w14:textId="764FBCAB" w:rsidR="001B38AE" w:rsidRDefault="001B38AE" w:rsidP="001B38AE">
      <w:pPr>
        <w:pStyle w:val="Caption"/>
        <w:keepNext/>
        <w:spacing w:before="0" w:after="0"/>
      </w:pPr>
      <w:bookmarkStart w:id="55" w:name="_Ref159510313"/>
      <w:bookmarkStart w:id="56" w:name="_Toc160445145"/>
      <w:r>
        <w:lastRenderedPageBreak/>
        <w:t xml:space="preserve">Figure </w:t>
      </w:r>
      <w:r w:rsidR="00157FCC">
        <w:fldChar w:fldCharType="begin"/>
      </w:r>
      <w:r w:rsidR="00157FCC">
        <w:instrText xml:space="preserve"> SEQ Figure \* ARABIC </w:instrText>
      </w:r>
      <w:r w:rsidR="00157FCC">
        <w:fldChar w:fldCharType="separate"/>
      </w:r>
      <w:r w:rsidR="00875974">
        <w:rPr>
          <w:noProof/>
        </w:rPr>
        <w:t>17</w:t>
      </w:r>
      <w:r w:rsidR="00157FCC">
        <w:fldChar w:fldCharType="end"/>
      </w:r>
      <w:bookmarkEnd w:id="55"/>
      <w:r>
        <w:t>: Investment commitment to growth programs 2014-15—2026-27 $m (current prices)</w:t>
      </w:r>
      <w:bookmarkEnd w:id="56"/>
    </w:p>
    <w:p w14:paraId="37CE4AC2" w14:textId="77777777" w:rsidR="001B38AE" w:rsidRDefault="001B38AE" w:rsidP="001B38AE">
      <w:pPr>
        <w:spacing w:before="0" w:after="0"/>
        <w:jc w:val="center"/>
        <w:rPr>
          <w:rFonts w:eastAsia="Aptos"/>
        </w:rPr>
      </w:pPr>
      <w:r>
        <w:rPr>
          <w:noProof/>
          <w14:ligatures w14:val="standardContextual"/>
        </w:rPr>
        <w:drawing>
          <wp:inline distT="0" distB="0" distL="0" distR="0" wp14:anchorId="01602C78" wp14:editId="6196B9E7">
            <wp:extent cx="4752000" cy="2073600"/>
            <wp:effectExtent l="12700" t="12700" r="10795" b="9525"/>
            <wp:docPr id="1688192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192163" name=""/>
                    <pic:cNvPicPr/>
                  </pic:nvPicPr>
                  <pic:blipFill>
                    <a:blip r:embed="rId32"/>
                    <a:stretch>
                      <a:fillRect/>
                    </a:stretch>
                  </pic:blipFill>
                  <pic:spPr>
                    <a:xfrm>
                      <a:off x="0" y="0"/>
                      <a:ext cx="4752000" cy="2073600"/>
                    </a:xfrm>
                    <a:prstGeom prst="rect">
                      <a:avLst/>
                    </a:prstGeom>
                    <a:ln>
                      <a:solidFill>
                        <a:schemeClr val="accent1"/>
                      </a:solidFill>
                    </a:ln>
                  </pic:spPr>
                </pic:pic>
              </a:graphicData>
            </a:graphic>
          </wp:inline>
        </w:drawing>
      </w:r>
    </w:p>
    <w:p w14:paraId="0016B84A" w14:textId="77777777" w:rsidR="001B38AE" w:rsidRPr="005B2CCD" w:rsidRDefault="001B38AE" w:rsidP="001B38AE">
      <w:pPr>
        <w:spacing w:before="0" w:after="0"/>
        <w:ind w:firstLine="720"/>
        <w:contextualSpacing/>
        <w:rPr>
          <w:rFonts w:eastAsia="Aptos"/>
          <w:sz w:val="16"/>
          <w:szCs w:val="16"/>
        </w:rPr>
      </w:pPr>
      <w:r>
        <w:rPr>
          <w:rFonts w:eastAsia="Aptos"/>
          <w:sz w:val="16"/>
          <w:szCs w:val="16"/>
        </w:rPr>
        <w:t>Source: SRI Budget Tables</w:t>
      </w:r>
    </w:p>
    <w:p w14:paraId="2DD51F45" w14:textId="28C9406B" w:rsidR="00F02A64" w:rsidRDefault="00015E09" w:rsidP="00045467">
      <w:pPr>
        <w:pStyle w:val="Heading1"/>
        <w:rPr>
          <w:rFonts w:eastAsia="Aptos"/>
        </w:rPr>
      </w:pPr>
      <w:bookmarkStart w:id="57" w:name="_Toc160445127"/>
      <w:r>
        <w:rPr>
          <w:rFonts w:eastAsia="Aptos"/>
        </w:rPr>
        <w:t>Tourism or Technology:</w:t>
      </w:r>
      <w:r w:rsidR="00D85049">
        <w:rPr>
          <w:rFonts w:eastAsia="Aptos"/>
        </w:rPr>
        <w:t xml:space="preserve"> </w:t>
      </w:r>
      <w:r w:rsidR="008A3E77">
        <w:rPr>
          <w:rFonts w:eastAsia="Aptos"/>
        </w:rPr>
        <w:t>Where to from here</w:t>
      </w:r>
      <w:r w:rsidR="00011C40">
        <w:rPr>
          <w:rFonts w:eastAsia="Aptos"/>
        </w:rPr>
        <w:t>?</w:t>
      </w:r>
      <w:bookmarkEnd w:id="57"/>
    </w:p>
    <w:p w14:paraId="5B6BF88C" w14:textId="299C2C9C" w:rsidR="006C49F5" w:rsidRDefault="006C49F5" w:rsidP="006C49F5">
      <w:r>
        <w:t>Should the expenditure trends described in this Paper continue, and in the knowledge of the complementarity of government and business research investment, the 3% target would appear to be a little more than a rhetorical aspiration.</w:t>
      </w:r>
      <w:r w:rsidR="00D85049">
        <w:t xml:space="preserve"> </w:t>
      </w:r>
    </w:p>
    <w:p w14:paraId="582B063F" w14:textId="44E0E634" w:rsidR="006C49F5" w:rsidRDefault="006C49F5" w:rsidP="006C49F5">
      <w:r>
        <w:t xml:space="preserve">To reach 3%, substantial increases in </w:t>
      </w:r>
      <w:r w:rsidRPr="00FE67EB">
        <w:rPr>
          <w:i/>
          <w:iCs/>
        </w:rPr>
        <w:t>both</w:t>
      </w:r>
      <w:r>
        <w:t xml:space="preserve"> public and business investment in R&amp;D </w:t>
      </w:r>
      <w:r w:rsidR="00FE0B74">
        <w:t>are</w:t>
      </w:r>
      <w:r>
        <w:t xml:space="preserve"> required.</w:t>
      </w:r>
      <w:r w:rsidR="00D85049">
        <w:t xml:space="preserve"> </w:t>
      </w:r>
      <w:r>
        <w:t>Continuing to rely on</w:t>
      </w:r>
      <w:r w:rsidR="004E19BB">
        <w:t xml:space="preserve"> </w:t>
      </w:r>
      <w:r>
        <w:t xml:space="preserve">universities </w:t>
      </w:r>
      <w:r w:rsidR="004E19BB">
        <w:t xml:space="preserve">through their international student fee income </w:t>
      </w:r>
      <w:r>
        <w:t xml:space="preserve">and </w:t>
      </w:r>
      <w:r w:rsidR="004E19BB">
        <w:t>overseas</w:t>
      </w:r>
      <w:r>
        <w:t xml:space="preserve"> </w:t>
      </w:r>
      <w:r w:rsidR="004E19BB">
        <w:t xml:space="preserve">PhD </w:t>
      </w:r>
      <w:r>
        <w:t xml:space="preserve">students as the major component of national R&amp;D investment is a very high risk in the intensely competitive global higher education market and unlikely to deliver the 3% outcome. </w:t>
      </w:r>
      <w:r w:rsidR="000A0C18">
        <w:t>It is even more risky as governments impose tighter visa requirements</w:t>
      </w:r>
      <w:r w:rsidR="000A0C18">
        <w:rPr>
          <w:rStyle w:val="FootnoteReference"/>
        </w:rPr>
        <w:footnoteReference w:id="9"/>
      </w:r>
      <w:r w:rsidR="000A0C18">
        <w:t>.</w:t>
      </w:r>
    </w:p>
    <w:p w14:paraId="3B12AFDD" w14:textId="493EB043" w:rsidR="00015E09" w:rsidRDefault="001176DF" w:rsidP="00F02A64">
      <w:pPr>
        <w:rPr>
          <w:rFonts w:eastAsia="Aptos"/>
        </w:rPr>
      </w:pPr>
      <w:r>
        <w:rPr>
          <w:rFonts w:eastAsia="Aptos"/>
        </w:rPr>
        <w:t>Based on</w:t>
      </w:r>
      <w:r w:rsidR="005A5AF1">
        <w:rPr>
          <w:rFonts w:eastAsia="Aptos"/>
        </w:rPr>
        <w:t xml:space="preserve"> trends in the OECD data</w:t>
      </w:r>
      <w:r w:rsidR="00195E8E">
        <w:rPr>
          <w:rFonts w:eastAsia="Aptos"/>
        </w:rPr>
        <w:t xml:space="preserve"> (</w:t>
      </w:r>
      <w:r w:rsidR="00195E8E">
        <w:rPr>
          <w:rFonts w:eastAsia="Aptos"/>
        </w:rPr>
        <w:fldChar w:fldCharType="begin"/>
      </w:r>
      <w:r w:rsidR="00195E8E">
        <w:rPr>
          <w:rFonts w:eastAsia="Aptos"/>
        </w:rPr>
        <w:instrText xml:space="preserve"> REF _Ref159529117 \h </w:instrText>
      </w:r>
      <w:r w:rsidR="00195E8E">
        <w:rPr>
          <w:rFonts w:eastAsia="Aptos"/>
        </w:rPr>
      </w:r>
      <w:r w:rsidR="00195E8E">
        <w:rPr>
          <w:rFonts w:eastAsia="Aptos"/>
        </w:rPr>
        <w:fldChar w:fldCharType="separate"/>
      </w:r>
      <w:r w:rsidR="00875974">
        <w:t xml:space="preserve">Figure </w:t>
      </w:r>
      <w:r w:rsidR="00875974">
        <w:rPr>
          <w:noProof/>
        </w:rPr>
        <w:t>18</w:t>
      </w:r>
      <w:r w:rsidR="00195E8E">
        <w:rPr>
          <w:rFonts w:eastAsia="Aptos"/>
        </w:rPr>
        <w:fldChar w:fldCharType="end"/>
      </w:r>
      <w:r w:rsidR="00195E8E">
        <w:rPr>
          <w:rFonts w:eastAsia="Aptos"/>
        </w:rPr>
        <w:t>)</w:t>
      </w:r>
      <w:r w:rsidR="00AC7FA7">
        <w:rPr>
          <w:rFonts w:eastAsia="Aptos"/>
        </w:rPr>
        <w:t>,</w:t>
      </w:r>
      <w:r w:rsidR="00584B19">
        <w:rPr>
          <w:rFonts w:eastAsia="Aptos"/>
        </w:rPr>
        <w:t xml:space="preserve"> Australia is </w:t>
      </w:r>
      <w:r w:rsidR="00974257">
        <w:rPr>
          <w:rFonts w:eastAsia="Aptos"/>
        </w:rPr>
        <w:t xml:space="preserve">heading into the </w:t>
      </w:r>
      <w:r w:rsidR="007A1DB0">
        <w:rPr>
          <w:rFonts w:eastAsia="Aptos"/>
        </w:rPr>
        <w:t>league of the European tourism</w:t>
      </w:r>
      <w:r w:rsidR="005A5AF1">
        <w:rPr>
          <w:rFonts w:eastAsia="Aptos"/>
        </w:rPr>
        <w:t>, sport, and entertainment</w:t>
      </w:r>
      <w:r w:rsidR="007A1DB0">
        <w:rPr>
          <w:rFonts w:eastAsia="Aptos"/>
        </w:rPr>
        <w:t xml:space="preserve">-driven economies. </w:t>
      </w:r>
    </w:p>
    <w:p w14:paraId="5300A14F" w14:textId="4A84B50A" w:rsidR="00015E09" w:rsidRDefault="00015E09" w:rsidP="00015E09">
      <w:pPr>
        <w:pStyle w:val="Caption"/>
        <w:keepNext/>
        <w:spacing w:before="0" w:after="0"/>
      </w:pPr>
      <w:bookmarkStart w:id="58" w:name="_Ref159529117"/>
      <w:bookmarkStart w:id="59" w:name="_Toc160445146"/>
      <w:r>
        <w:t xml:space="preserve">Figure </w:t>
      </w:r>
      <w:r w:rsidR="00157FCC">
        <w:fldChar w:fldCharType="begin"/>
      </w:r>
      <w:r w:rsidR="00157FCC">
        <w:instrText xml:space="preserve"> SEQ Figure \* ARABIC </w:instrText>
      </w:r>
      <w:r w:rsidR="00157FCC">
        <w:fldChar w:fldCharType="separate"/>
      </w:r>
      <w:r w:rsidR="00875974">
        <w:rPr>
          <w:noProof/>
        </w:rPr>
        <w:t>18</w:t>
      </w:r>
      <w:r w:rsidR="00157FCC">
        <w:fldChar w:fldCharType="end"/>
      </w:r>
      <w:bookmarkEnd w:id="58"/>
      <w:r>
        <w:t>: Gross Expenditure on R&amp;D as a percentage of GDP:</w:t>
      </w:r>
      <w:r w:rsidR="00D85049">
        <w:t xml:space="preserve"> </w:t>
      </w:r>
      <w:r>
        <w:t>Australia and European tourism-oriented nations</w:t>
      </w:r>
      <w:bookmarkEnd w:id="59"/>
    </w:p>
    <w:p w14:paraId="5A394643" w14:textId="48EE772A" w:rsidR="00015E09" w:rsidRDefault="00E00EBB" w:rsidP="00015E09">
      <w:pPr>
        <w:spacing w:before="0" w:after="0"/>
        <w:jc w:val="center"/>
        <w:rPr>
          <w:rFonts w:eastAsia="Aptos"/>
        </w:rPr>
      </w:pPr>
      <w:r>
        <w:rPr>
          <w:noProof/>
          <w14:ligatures w14:val="standardContextual"/>
        </w:rPr>
        <w:drawing>
          <wp:inline distT="0" distB="0" distL="0" distR="0" wp14:anchorId="7F5E60D8" wp14:editId="2DFAEFC5">
            <wp:extent cx="4751540" cy="2689860"/>
            <wp:effectExtent l="12700" t="12700" r="11430" b="15240"/>
            <wp:docPr id="1736566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566466" name=""/>
                    <pic:cNvPicPr/>
                  </pic:nvPicPr>
                  <pic:blipFill rotWithShape="1">
                    <a:blip r:embed="rId33"/>
                    <a:srcRect t="6942"/>
                    <a:stretch/>
                  </pic:blipFill>
                  <pic:spPr bwMode="auto">
                    <a:xfrm>
                      <a:off x="0" y="0"/>
                      <a:ext cx="4752000" cy="2690121"/>
                    </a:xfrm>
                    <a:prstGeom prst="rect">
                      <a:avLst/>
                    </a:prstGeom>
                    <a:ln w="9525" cap="flat" cmpd="sng" algn="ctr">
                      <a:solidFill>
                        <a:srgbClr val="156082"/>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2496E20" w14:textId="77777777" w:rsidR="00015E09" w:rsidRDefault="00015E09" w:rsidP="00015E09">
      <w:pPr>
        <w:spacing w:before="0" w:after="0"/>
        <w:ind w:firstLine="720"/>
        <w:rPr>
          <w:rFonts w:cs="Arial"/>
          <w:color w:val="000080"/>
          <w:sz w:val="15"/>
          <w:szCs w:val="15"/>
          <w:u w:val="single"/>
        </w:rPr>
      </w:pPr>
      <w:r w:rsidRPr="007A1DB0">
        <w:rPr>
          <w:rFonts w:cs="Aptos"/>
          <w:color w:val="000000"/>
          <w:sz w:val="15"/>
          <w:szCs w:val="15"/>
        </w:rPr>
        <w:t xml:space="preserve">Source: OECD </w:t>
      </w:r>
      <w:hyperlink r:id="rId34" w:history="1">
        <w:r w:rsidRPr="007A1DB0">
          <w:rPr>
            <w:rFonts w:cs="Arial"/>
            <w:color w:val="000080"/>
            <w:sz w:val="15"/>
            <w:szCs w:val="15"/>
            <w:u w:val="single"/>
          </w:rPr>
          <w:t>Dataset: Main Science and T</w:t>
        </w:r>
        <w:r w:rsidRPr="007A1DB0">
          <w:rPr>
            <w:rFonts w:cs="Arial"/>
            <w:color w:val="000080"/>
            <w:sz w:val="15"/>
            <w:szCs w:val="15"/>
            <w:u w:val="single"/>
          </w:rPr>
          <w:t>e</w:t>
        </w:r>
        <w:r w:rsidRPr="007A1DB0">
          <w:rPr>
            <w:rFonts w:cs="Arial"/>
            <w:color w:val="000080"/>
            <w:sz w:val="15"/>
            <w:szCs w:val="15"/>
            <w:u w:val="single"/>
          </w:rPr>
          <w:t>chnology Indicators</w:t>
        </w:r>
      </w:hyperlink>
      <w:r w:rsidRPr="007A1DB0">
        <w:rPr>
          <w:rFonts w:cs="Arial"/>
          <w:color w:val="000080"/>
          <w:sz w:val="15"/>
          <w:szCs w:val="15"/>
          <w:u w:val="single"/>
        </w:rPr>
        <w:t xml:space="preserve"> </w:t>
      </w:r>
    </w:p>
    <w:p w14:paraId="265A10EE" w14:textId="75983057" w:rsidR="00056D0D" w:rsidRPr="007A1DB0" w:rsidRDefault="00F432F8" w:rsidP="00056D0D">
      <w:r>
        <w:lastRenderedPageBreak/>
        <w:t xml:space="preserve">Figure 13 also suggests that many countries </w:t>
      </w:r>
      <w:r w:rsidR="00E00EBB">
        <w:t xml:space="preserve">that </w:t>
      </w:r>
      <w:r>
        <w:t>have been historically tourism</w:t>
      </w:r>
      <w:r w:rsidR="00E00EBB">
        <w:t>-oriented (</w:t>
      </w:r>
      <w:r>
        <w:t>or countries devasted by war</w:t>
      </w:r>
      <w:r w:rsidR="00E00EBB">
        <w:t>)</w:t>
      </w:r>
      <w:r>
        <w:t xml:space="preserve"> have committed to increasing their R&amp;D</w:t>
      </w:r>
      <w:r w:rsidR="00022566">
        <w:t xml:space="preserve"> investment</w:t>
      </w:r>
      <w:r>
        <w:t>—albeit from a very low base. Australia</w:t>
      </w:r>
      <w:r w:rsidR="00022566">
        <w:t>, Spain,</w:t>
      </w:r>
      <w:r>
        <w:t xml:space="preserve"> and Portugal are distinguished</w:t>
      </w:r>
      <w:r w:rsidR="00E00EBB">
        <w:t xml:space="preserve"> in the grouping </w:t>
      </w:r>
      <w:r>
        <w:t xml:space="preserve">as the only countries that reduced their R&amp;D commitment from  2008.  </w:t>
      </w:r>
      <w:r w:rsidR="00E00EBB">
        <w:t>The commitment by Turkiye to R&amp;D since 2005</w:t>
      </w:r>
      <w:r w:rsidR="00825086">
        <w:t xml:space="preserve"> and by Czechia</w:t>
      </w:r>
      <w:r w:rsidR="00E00EBB">
        <w:t xml:space="preserve"> </w:t>
      </w:r>
      <w:r w:rsidR="00825086">
        <w:t xml:space="preserve">from 2011 </w:t>
      </w:r>
      <w:r w:rsidR="00E00EBB">
        <w:t>is particularly impressive.</w:t>
      </w:r>
      <w:r w:rsidR="00825086">
        <w:t xml:space="preserve">  </w:t>
      </w:r>
      <w:r w:rsidR="00825086" w:rsidRPr="000A0C18">
        <w:rPr>
          <w:i/>
          <w:iCs/>
        </w:rPr>
        <w:t xml:space="preserve">Horizon </w:t>
      </w:r>
      <w:r w:rsidR="000A0C18" w:rsidRPr="000A0C18">
        <w:rPr>
          <w:i/>
          <w:iCs/>
        </w:rPr>
        <w:t>Europe</w:t>
      </w:r>
      <w:r w:rsidR="000A0C18">
        <w:t xml:space="preserve"> </w:t>
      </w:r>
      <w:r w:rsidR="00825086">
        <w:t>funds have been important in driving these changes</w:t>
      </w:r>
      <w:r w:rsidR="000A0C18">
        <w:rPr>
          <w:rStyle w:val="FootnoteReference"/>
        </w:rPr>
        <w:footnoteReference w:id="10"/>
      </w:r>
      <w:r w:rsidR="00825086">
        <w:t>.</w:t>
      </w:r>
    </w:p>
    <w:p w14:paraId="35597AEB" w14:textId="2F8C480D" w:rsidR="005A16F2" w:rsidRDefault="00015E09" w:rsidP="00F02A64">
      <w:pPr>
        <w:rPr>
          <w:rFonts w:eastAsia="Aptos"/>
        </w:rPr>
      </w:pPr>
      <w:r>
        <w:rPr>
          <w:rFonts w:eastAsia="Aptos"/>
        </w:rPr>
        <w:t>Tourism</w:t>
      </w:r>
      <w:r w:rsidR="002F2B8B">
        <w:rPr>
          <w:rFonts w:eastAsia="Aptos"/>
        </w:rPr>
        <w:t xml:space="preserve">, including educational tourism, </w:t>
      </w:r>
      <w:r>
        <w:rPr>
          <w:rFonts w:eastAsia="Aptos"/>
        </w:rPr>
        <w:t>is a significant contributor to the Australian economy and account</w:t>
      </w:r>
      <w:r w:rsidR="002F2B8B">
        <w:rPr>
          <w:rFonts w:eastAsia="Aptos"/>
        </w:rPr>
        <w:t xml:space="preserve">ed </w:t>
      </w:r>
      <w:r>
        <w:rPr>
          <w:rFonts w:eastAsia="Aptos"/>
        </w:rPr>
        <w:t xml:space="preserve">for </w:t>
      </w:r>
      <w:r w:rsidR="00045467">
        <w:rPr>
          <w:rFonts w:eastAsia="Aptos"/>
        </w:rPr>
        <w:t xml:space="preserve">2.5% </w:t>
      </w:r>
      <w:r>
        <w:rPr>
          <w:rFonts w:eastAsia="Aptos"/>
        </w:rPr>
        <w:t>of GDP</w:t>
      </w:r>
      <w:r w:rsidR="00045467">
        <w:rPr>
          <w:rFonts w:eastAsia="Aptos"/>
        </w:rPr>
        <w:t xml:space="preserve"> </w:t>
      </w:r>
      <w:r w:rsidR="002F2B8B">
        <w:rPr>
          <w:rFonts w:eastAsia="Aptos"/>
        </w:rPr>
        <w:t xml:space="preserve">in </w:t>
      </w:r>
      <w:r w:rsidR="00045467">
        <w:rPr>
          <w:rFonts w:eastAsia="Aptos"/>
        </w:rPr>
        <w:t>2022-23, below the pre-COVID level of 3.1%</w:t>
      </w:r>
      <w:r w:rsidR="00045467">
        <w:rPr>
          <w:rStyle w:val="FootnoteReference"/>
          <w:rFonts w:eastAsia="Aptos"/>
        </w:rPr>
        <w:footnoteReference w:id="11"/>
      </w:r>
      <w:r w:rsidR="00045467">
        <w:rPr>
          <w:rFonts w:eastAsia="Aptos"/>
        </w:rPr>
        <w:t>.</w:t>
      </w:r>
      <w:r w:rsidR="00D85049">
        <w:rPr>
          <w:rFonts w:eastAsia="Aptos"/>
        </w:rPr>
        <w:t xml:space="preserve"> </w:t>
      </w:r>
      <w:r w:rsidR="005A16F2">
        <w:rPr>
          <w:rFonts w:eastAsia="Aptos"/>
        </w:rPr>
        <w:t xml:space="preserve">Deloitte has reported that Tourism represents </w:t>
      </w:r>
      <w:r w:rsidR="009E12C6">
        <w:rPr>
          <w:rFonts w:eastAsia="Aptos"/>
        </w:rPr>
        <w:t>nearly</w:t>
      </w:r>
      <w:r w:rsidR="005A16F2">
        <w:rPr>
          <w:rFonts w:eastAsia="Aptos"/>
        </w:rPr>
        <w:t xml:space="preserve"> 15% of total exports</w:t>
      </w:r>
      <w:r w:rsidR="005A16F2">
        <w:rPr>
          <w:rStyle w:val="FootnoteReference"/>
          <w:rFonts w:eastAsia="Aptos"/>
        </w:rPr>
        <w:footnoteReference w:id="12"/>
      </w:r>
      <w:r w:rsidR="005A16F2">
        <w:rPr>
          <w:rFonts w:eastAsia="Aptos"/>
        </w:rPr>
        <w:t xml:space="preserve">. </w:t>
      </w:r>
    </w:p>
    <w:p w14:paraId="29B5BC25" w14:textId="7575E5A6" w:rsidR="00195E8E" w:rsidRDefault="002F2B8B" w:rsidP="00F02A64">
      <w:pPr>
        <w:rPr>
          <w:rFonts w:eastAsia="Aptos"/>
        </w:rPr>
      </w:pPr>
      <w:r>
        <w:rPr>
          <w:rFonts w:eastAsia="Aptos"/>
        </w:rPr>
        <w:t xml:space="preserve">Growing the tourism industry </w:t>
      </w:r>
      <w:r w:rsidR="00015E09">
        <w:rPr>
          <w:rFonts w:eastAsia="Aptos"/>
        </w:rPr>
        <w:t xml:space="preserve">is a </w:t>
      </w:r>
      <w:r w:rsidR="007A1DB0">
        <w:rPr>
          <w:rFonts w:eastAsia="Aptos"/>
        </w:rPr>
        <w:t xml:space="preserve">high priority for the Australian and </w:t>
      </w:r>
      <w:r w:rsidR="00804A2E">
        <w:rPr>
          <w:rFonts w:eastAsia="Aptos"/>
        </w:rPr>
        <w:t>state/territory governments and is driven hard by the tourism operators and lobbies,</w:t>
      </w:r>
      <w:r w:rsidR="00C54F9B">
        <w:rPr>
          <w:rFonts w:eastAsia="Aptos"/>
        </w:rPr>
        <w:t xml:space="preserve"> and the higher education sector.</w:t>
      </w:r>
      <w:r w:rsidR="00D85049">
        <w:rPr>
          <w:rFonts w:eastAsia="Aptos"/>
        </w:rPr>
        <w:t xml:space="preserve"> </w:t>
      </w:r>
      <w:r w:rsidR="00015E09">
        <w:rPr>
          <w:rFonts w:eastAsia="Aptos"/>
        </w:rPr>
        <w:t xml:space="preserve">Governments provide extensive support for the industry through </w:t>
      </w:r>
      <w:r>
        <w:rPr>
          <w:rFonts w:eastAsia="Aptos"/>
        </w:rPr>
        <w:t xml:space="preserve">various subsidies, </w:t>
      </w:r>
      <w:proofErr w:type="gramStart"/>
      <w:r w:rsidR="00015E09">
        <w:rPr>
          <w:rFonts w:eastAsia="Aptos"/>
        </w:rPr>
        <w:t>infrastructure</w:t>
      </w:r>
      <w:proofErr w:type="gramEnd"/>
      <w:r w:rsidR="00015E09">
        <w:rPr>
          <w:rFonts w:eastAsia="Aptos"/>
        </w:rPr>
        <w:t xml:space="preserve"> and facilities development, and fast</w:t>
      </w:r>
      <w:r>
        <w:rPr>
          <w:rFonts w:eastAsia="Aptos"/>
        </w:rPr>
        <w:t>-t</w:t>
      </w:r>
      <w:r w:rsidR="00015E09">
        <w:rPr>
          <w:rFonts w:eastAsia="Aptos"/>
        </w:rPr>
        <w:t xml:space="preserve">rack development approvals. </w:t>
      </w:r>
    </w:p>
    <w:p w14:paraId="0EBF879B" w14:textId="1FD2C160" w:rsidR="00015E09" w:rsidRDefault="00015E09" w:rsidP="00F02A64">
      <w:pPr>
        <w:rPr>
          <w:rFonts w:eastAsia="Aptos"/>
        </w:rPr>
      </w:pPr>
      <w:r>
        <w:rPr>
          <w:rFonts w:eastAsia="Aptos"/>
        </w:rPr>
        <w:t>Manufacturing</w:t>
      </w:r>
      <w:r w:rsidR="002F2B8B">
        <w:rPr>
          <w:rFonts w:eastAsia="Aptos"/>
        </w:rPr>
        <w:t>, by contrast,</w:t>
      </w:r>
      <w:r>
        <w:rPr>
          <w:rFonts w:eastAsia="Aptos"/>
        </w:rPr>
        <w:t xml:space="preserve"> contributes 5</w:t>
      </w:r>
      <w:r w:rsidR="005A16F2">
        <w:rPr>
          <w:rFonts w:eastAsia="Aptos"/>
        </w:rPr>
        <w:t>.7%</w:t>
      </w:r>
      <w:r>
        <w:rPr>
          <w:rFonts w:eastAsia="Aptos"/>
        </w:rPr>
        <w:t xml:space="preserve"> to GDP</w:t>
      </w:r>
      <w:r w:rsidR="005A16F2">
        <w:rPr>
          <w:rFonts w:eastAsia="Aptos"/>
        </w:rPr>
        <w:t xml:space="preserve"> and 7.4% to exports</w:t>
      </w:r>
      <w:r w:rsidR="005A16F2">
        <w:rPr>
          <w:rStyle w:val="FootnoteReference"/>
          <w:rFonts w:eastAsia="Aptos"/>
        </w:rPr>
        <w:footnoteReference w:id="13"/>
      </w:r>
      <w:r w:rsidR="005A16F2">
        <w:rPr>
          <w:rFonts w:eastAsia="Aptos"/>
        </w:rPr>
        <w:t>.</w:t>
      </w:r>
      <w:r>
        <w:rPr>
          <w:rFonts w:eastAsia="Aptos"/>
        </w:rPr>
        <w:t xml:space="preserve"> </w:t>
      </w:r>
      <w:r w:rsidR="002F2B8B">
        <w:rPr>
          <w:rFonts w:eastAsia="Aptos"/>
        </w:rPr>
        <w:t>To secure its transformation and growth and a place in the global competitive environment, t</w:t>
      </w:r>
      <w:r w:rsidR="005A16F2">
        <w:rPr>
          <w:rFonts w:eastAsia="Aptos"/>
        </w:rPr>
        <w:t xml:space="preserve">he industry </w:t>
      </w:r>
      <w:r>
        <w:rPr>
          <w:rFonts w:eastAsia="Aptos"/>
        </w:rPr>
        <w:t>requires substantial investment in R&amp;D</w:t>
      </w:r>
      <w:r w:rsidR="002F2B8B">
        <w:rPr>
          <w:rFonts w:eastAsia="Aptos"/>
        </w:rPr>
        <w:t xml:space="preserve">. But </w:t>
      </w:r>
      <w:r>
        <w:rPr>
          <w:rFonts w:eastAsia="Aptos"/>
        </w:rPr>
        <w:t xml:space="preserve">apart from </w:t>
      </w:r>
      <w:r w:rsidR="009E12C6">
        <w:rPr>
          <w:rFonts w:eastAsia="Aptos"/>
        </w:rPr>
        <w:t>the support that flows thr</w:t>
      </w:r>
      <w:r w:rsidR="002F2B8B">
        <w:rPr>
          <w:rFonts w:eastAsia="Aptos"/>
        </w:rPr>
        <w:t>ough the</w:t>
      </w:r>
      <w:r>
        <w:rPr>
          <w:rFonts w:eastAsia="Aptos"/>
        </w:rPr>
        <w:t xml:space="preserve"> R&amp;D Tax Incentive, the level of support is </w:t>
      </w:r>
      <w:r w:rsidR="002F2B8B">
        <w:rPr>
          <w:rFonts w:eastAsia="Aptos"/>
        </w:rPr>
        <w:t>minimal.</w:t>
      </w:r>
      <w:r w:rsidR="00D85049">
        <w:rPr>
          <w:rFonts w:eastAsia="Aptos"/>
        </w:rPr>
        <w:t xml:space="preserve"> </w:t>
      </w:r>
    </w:p>
    <w:p w14:paraId="2A17C606" w14:textId="3C9ED8CC" w:rsidR="00015E09" w:rsidRDefault="00015E09" w:rsidP="00F02A64">
      <w:pPr>
        <w:rPr>
          <w:rFonts w:eastAsia="Aptos"/>
        </w:rPr>
      </w:pPr>
      <w:r>
        <w:rPr>
          <w:rFonts w:eastAsia="Aptos"/>
        </w:rPr>
        <w:t>Substantial investments by government and business are required to leapfrog into the future: digital infrastructure, AI and machine learning, robotics, virtual and augmented reality, cyber security, and green technologies. Commitments are being made, but progress is serpentine.</w:t>
      </w:r>
      <w:r w:rsidR="00D85049">
        <w:rPr>
          <w:rFonts w:eastAsia="Aptos"/>
        </w:rPr>
        <w:t xml:space="preserve"> </w:t>
      </w:r>
      <w:r>
        <w:rPr>
          <w:rFonts w:eastAsia="Aptos"/>
        </w:rPr>
        <w:t xml:space="preserve">A sense of urgency is absent. </w:t>
      </w:r>
    </w:p>
    <w:p w14:paraId="335D8C47" w14:textId="706505D4" w:rsidR="00D46464" w:rsidRDefault="00D46464" w:rsidP="00D46464">
      <w:r>
        <w:t>Perhaps Australians and many of our political leaders are comfortable with this.</w:t>
      </w:r>
      <w:r w:rsidR="00D85049">
        <w:t xml:space="preserve"> </w:t>
      </w:r>
      <w:r>
        <w:t>But it is not a path to economic prosperity, social cohesion, higher living standards, and social equity</w:t>
      </w:r>
      <w:r w:rsidR="00726E6D">
        <w:t>, particularly with the limitations posed by our narrow trade and industrial structure</w:t>
      </w:r>
      <w:r>
        <w:t xml:space="preserve">. </w:t>
      </w:r>
      <w:r w:rsidR="00726E6D">
        <w:t xml:space="preserve">Our place at number 93 on the </w:t>
      </w:r>
      <w:r w:rsidR="00726E6D" w:rsidRPr="00C76E9A">
        <w:rPr>
          <w:i/>
          <w:iCs/>
        </w:rPr>
        <w:t xml:space="preserve">Harvard </w:t>
      </w:r>
      <w:r w:rsidR="00726E6D" w:rsidRPr="00804A2E">
        <w:rPr>
          <w:i/>
          <w:iCs/>
        </w:rPr>
        <w:t>Atlas of Economic Complexity</w:t>
      </w:r>
      <w:r w:rsidR="00726E6D">
        <w:t xml:space="preserve">, measuring the diversity and research intensity of our export mix, has been widely noted. </w:t>
      </w:r>
    </w:p>
    <w:p w14:paraId="752E6C47" w14:textId="06A8B21E" w:rsidR="00061CFA" w:rsidRDefault="00195E8E" w:rsidP="00F02A64">
      <w:pPr>
        <w:rPr>
          <w:rFonts w:eastAsia="Aptos"/>
        </w:rPr>
      </w:pPr>
      <w:r>
        <w:rPr>
          <w:rFonts w:eastAsia="Aptos"/>
        </w:rPr>
        <w:t xml:space="preserve">The </w:t>
      </w:r>
      <w:r w:rsidR="00015E09">
        <w:rPr>
          <w:rFonts w:eastAsia="Aptos"/>
        </w:rPr>
        <w:t xml:space="preserve">legacy of </w:t>
      </w:r>
      <w:r w:rsidR="002F2B8B">
        <w:rPr>
          <w:rFonts w:eastAsia="Aptos"/>
        </w:rPr>
        <w:t>t</w:t>
      </w:r>
      <w:r w:rsidR="00015E09">
        <w:rPr>
          <w:rFonts w:eastAsia="Aptos"/>
        </w:rPr>
        <w:t xml:space="preserve">ourism in industrial policy </w:t>
      </w:r>
      <w:r w:rsidR="002F2B8B">
        <w:rPr>
          <w:rFonts w:eastAsia="Aptos"/>
        </w:rPr>
        <w:t>is</w:t>
      </w:r>
      <w:r w:rsidR="00015E09">
        <w:rPr>
          <w:rFonts w:eastAsia="Aptos"/>
        </w:rPr>
        <w:t xml:space="preserve"> indicated by its placement alongside industry and science functions, such as </w:t>
      </w:r>
      <w:r>
        <w:rPr>
          <w:rFonts w:eastAsia="Aptos"/>
        </w:rPr>
        <w:t>the</w:t>
      </w:r>
      <w:r w:rsidR="00015E09">
        <w:rPr>
          <w:rFonts w:eastAsia="Aptos"/>
        </w:rPr>
        <w:t xml:space="preserve"> Minister for </w:t>
      </w:r>
      <w:r>
        <w:rPr>
          <w:rFonts w:eastAsia="Aptos"/>
        </w:rPr>
        <w:t xml:space="preserve">Industry, Science and </w:t>
      </w:r>
      <w:r w:rsidRPr="00D46464">
        <w:rPr>
          <w:rFonts w:eastAsia="Aptos"/>
          <w:i/>
          <w:iCs/>
        </w:rPr>
        <w:t>Tourism</w:t>
      </w:r>
      <w:r>
        <w:rPr>
          <w:rFonts w:eastAsia="Aptos"/>
        </w:rPr>
        <w:t xml:space="preserve"> (</w:t>
      </w:r>
      <w:r w:rsidR="00015E09">
        <w:rPr>
          <w:rFonts w:eastAsia="Aptos"/>
        </w:rPr>
        <w:t xml:space="preserve">John Moore, </w:t>
      </w:r>
      <w:r w:rsidRPr="00195E8E">
        <w:rPr>
          <w:rFonts w:eastAsia="Aptos"/>
        </w:rPr>
        <w:t>March 1996</w:t>
      </w:r>
      <w:r>
        <w:rPr>
          <w:rFonts w:eastAsia="Aptos"/>
        </w:rPr>
        <w:t>—</w:t>
      </w:r>
      <w:r w:rsidRPr="00195E8E">
        <w:rPr>
          <w:rFonts w:eastAsia="Aptos"/>
        </w:rPr>
        <w:t>October 1998</w:t>
      </w:r>
      <w:r w:rsidR="00015E09">
        <w:rPr>
          <w:rFonts w:eastAsia="Aptos"/>
        </w:rPr>
        <w:t xml:space="preserve">, which </w:t>
      </w:r>
      <w:r>
        <w:rPr>
          <w:rFonts w:eastAsia="Aptos"/>
        </w:rPr>
        <w:t xml:space="preserve">was associated with a </w:t>
      </w:r>
      <w:r w:rsidR="006E459D" w:rsidRPr="006E459D">
        <w:rPr>
          <w:rFonts w:eastAsia="Aptos"/>
          <w:i/>
          <w:iCs/>
        </w:rPr>
        <w:t xml:space="preserve">substantial </w:t>
      </w:r>
      <w:r>
        <w:rPr>
          <w:rFonts w:eastAsia="Aptos"/>
          <w:i/>
          <w:iCs/>
        </w:rPr>
        <w:t xml:space="preserve">decline </w:t>
      </w:r>
      <w:r w:rsidRPr="00195E8E">
        <w:rPr>
          <w:rFonts w:eastAsia="Aptos"/>
        </w:rPr>
        <w:t xml:space="preserve">in R&amp;D </w:t>
      </w:r>
      <w:r>
        <w:rPr>
          <w:rFonts w:eastAsia="Aptos"/>
        </w:rPr>
        <w:t xml:space="preserve">as a percentage of GDP </w:t>
      </w:r>
      <w:r w:rsidR="00266AA4">
        <w:rPr>
          <w:rFonts w:eastAsia="Aptos"/>
        </w:rPr>
        <w:t>(</w:t>
      </w:r>
      <w:r w:rsidR="00266AA4">
        <w:rPr>
          <w:rFonts w:eastAsia="Aptos"/>
        </w:rPr>
        <w:fldChar w:fldCharType="begin"/>
      </w:r>
      <w:r w:rsidR="00266AA4">
        <w:rPr>
          <w:rFonts w:eastAsia="Aptos"/>
        </w:rPr>
        <w:instrText xml:space="preserve"> REF _Ref159529117 \h </w:instrText>
      </w:r>
      <w:r w:rsidR="00266AA4">
        <w:rPr>
          <w:rFonts w:eastAsia="Aptos"/>
        </w:rPr>
      </w:r>
      <w:r w:rsidR="00266AA4">
        <w:rPr>
          <w:rFonts w:eastAsia="Aptos"/>
        </w:rPr>
        <w:fldChar w:fldCharType="separate"/>
      </w:r>
      <w:r w:rsidR="00875974">
        <w:t xml:space="preserve">Figure </w:t>
      </w:r>
      <w:r w:rsidR="00875974">
        <w:rPr>
          <w:noProof/>
        </w:rPr>
        <w:t>18</w:t>
      </w:r>
      <w:r w:rsidR="00266AA4">
        <w:rPr>
          <w:rFonts w:eastAsia="Aptos"/>
        </w:rPr>
        <w:fldChar w:fldCharType="end"/>
      </w:r>
      <w:r w:rsidR="00266AA4">
        <w:rPr>
          <w:rFonts w:eastAsia="Aptos"/>
        </w:rPr>
        <w:t>)</w:t>
      </w:r>
      <w:r w:rsidRPr="00195E8E">
        <w:rPr>
          <w:rFonts w:eastAsia="Aptos"/>
        </w:rPr>
        <w:t>.</w:t>
      </w:r>
      <w:r w:rsidR="00061CFA">
        <w:rPr>
          <w:rFonts w:eastAsia="Aptos"/>
        </w:rPr>
        <w:t xml:space="preserve"> Nick Minchin was the Minister for Industry, Science and Resources from 1998 to 2001</w:t>
      </w:r>
      <w:r w:rsidR="00F864F6">
        <w:rPr>
          <w:rFonts w:eastAsia="Aptos"/>
        </w:rPr>
        <w:t xml:space="preserve">, </w:t>
      </w:r>
      <w:r w:rsidR="002F2B8B">
        <w:rPr>
          <w:rFonts w:eastAsia="Aptos"/>
        </w:rPr>
        <w:t>but</w:t>
      </w:r>
      <w:r w:rsidR="00F864F6">
        <w:rPr>
          <w:rFonts w:eastAsia="Aptos"/>
        </w:rPr>
        <w:t xml:space="preserve"> the situation did not improve.</w:t>
      </w:r>
      <w:r w:rsidR="00D85049">
        <w:rPr>
          <w:rFonts w:eastAsia="Aptos"/>
        </w:rPr>
        <w:t xml:space="preserve"> </w:t>
      </w:r>
    </w:p>
    <w:p w14:paraId="1D5DB2A0" w14:textId="78F39D66" w:rsidR="00061CFA" w:rsidRDefault="00015E09" w:rsidP="00F02A64">
      <w:pPr>
        <w:rPr>
          <w:rFonts w:eastAsia="Aptos"/>
        </w:rPr>
      </w:pPr>
      <w:r>
        <w:rPr>
          <w:rFonts w:eastAsia="Aptos"/>
        </w:rPr>
        <w:t xml:space="preserve">Ian McFarlane was Minister for </w:t>
      </w:r>
      <w:r w:rsidR="00061CFA">
        <w:rPr>
          <w:rFonts w:eastAsia="Aptos"/>
        </w:rPr>
        <w:t xml:space="preserve">Industry, </w:t>
      </w:r>
      <w:r w:rsidR="00061CFA" w:rsidRPr="00D46464">
        <w:rPr>
          <w:rFonts w:eastAsia="Aptos"/>
          <w:i/>
          <w:iCs/>
        </w:rPr>
        <w:t>Tourism</w:t>
      </w:r>
      <w:r w:rsidR="00061CFA">
        <w:rPr>
          <w:rFonts w:eastAsia="Aptos"/>
        </w:rPr>
        <w:t xml:space="preserve"> and Resources (2001-2007</w:t>
      </w:r>
      <w:r>
        <w:rPr>
          <w:rFonts w:eastAsia="Aptos"/>
        </w:rPr>
        <w:t>)</w:t>
      </w:r>
      <w:r w:rsidR="00061CFA">
        <w:rPr>
          <w:rFonts w:eastAsia="Aptos"/>
        </w:rPr>
        <w:t>,</w:t>
      </w:r>
      <w:r>
        <w:rPr>
          <w:rFonts w:eastAsia="Aptos"/>
        </w:rPr>
        <w:t xml:space="preserve"> which </w:t>
      </w:r>
      <w:r w:rsidR="00061CFA">
        <w:rPr>
          <w:rFonts w:eastAsia="Aptos"/>
        </w:rPr>
        <w:t>was associated with a substantial increase in R&amp;D as a percentage of GDP</w:t>
      </w:r>
      <w:r>
        <w:rPr>
          <w:rFonts w:eastAsia="Aptos"/>
        </w:rPr>
        <w:t>—principally in the mining sector</w:t>
      </w:r>
      <w:r w:rsidR="00061CFA">
        <w:rPr>
          <w:rFonts w:eastAsia="Aptos"/>
        </w:rPr>
        <w:t>. I</w:t>
      </w:r>
      <w:r w:rsidR="00FF51BC">
        <w:rPr>
          <w:rFonts w:eastAsia="Aptos"/>
        </w:rPr>
        <w:t xml:space="preserve">n 2008, after the </w:t>
      </w:r>
      <w:r w:rsidR="008A3E77">
        <w:rPr>
          <w:rFonts w:eastAsia="Aptos"/>
        </w:rPr>
        <w:t>government change and the GFC's onset</w:t>
      </w:r>
      <w:r w:rsidR="00FF51BC">
        <w:rPr>
          <w:rFonts w:eastAsia="Aptos"/>
        </w:rPr>
        <w:t>,</w:t>
      </w:r>
      <w:r w:rsidR="00061CFA">
        <w:rPr>
          <w:rFonts w:eastAsia="Aptos"/>
        </w:rPr>
        <w:t xml:space="preserve"> Gross Expenditure on R&amp;D as a proportion of GDP collapsed. </w:t>
      </w:r>
      <w:r w:rsidR="008A3E77">
        <w:rPr>
          <w:rFonts w:eastAsia="Aptos"/>
        </w:rPr>
        <w:t xml:space="preserve">That year </w:t>
      </w:r>
      <w:r w:rsidR="00FF51BC">
        <w:rPr>
          <w:rFonts w:eastAsia="Aptos"/>
        </w:rPr>
        <w:t>also marked the beginning of</w:t>
      </w:r>
      <w:r w:rsidR="002F2B8B">
        <w:rPr>
          <w:rFonts w:eastAsia="Aptos"/>
        </w:rPr>
        <w:t xml:space="preserve"> a period of sustained </w:t>
      </w:r>
      <w:r w:rsidR="00FF51BC">
        <w:rPr>
          <w:rFonts w:eastAsia="Aptos"/>
        </w:rPr>
        <w:t xml:space="preserve">political instability, </w:t>
      </w:r>
      <w:r w:rsidR="00FE0B74">
        <w:rPr>
          <w:rFonts w:eastAsia="Aptos"/>
        </w:rPr>
        <w:t>badly impacting</w:t>
      </w:r>
      <w:r w:rsidR="008A3E77">
        <w:rPr>
          <w:rFonts w:eastAsia="Aptos"/>
        </w:rPr>
        <w:t xml:space="preserve"> </w:t>
      </w:r>
      <w:r w:rsidR="00FF51BC">
        <w:rPr>
          <w:rFonts w:eastAsia="Aptos"/>
        </w:rPr>
        <w:t xml:space="preserve">the business investment climate. </w:t>
      </w:r>
      <w:r w:rsidR="00061CFA">
        <w:rPr>
          <w:rFonts w:eastAsia="Aptos"/>
        </w:rPr>
        <w:t xml:space="preserve">Unlike overseas governments, Australia did not prioritise R&amp;D investment as a response to the GFC. </w:t>
      </w:r>
    </w:p>
    <w:bookmarkEnd w:id="1"/>
    <w:p w14:paraId="7ED3ADD4" w14:textId="6655DCCC" w:rsidR="00266AA4" w:rsidRDefault="00C972DA" w:rsidP="00C972DA">
      <w:pPr>
        <w:rPr>
          <w:rFonts w:eastAsia="Aptos"/>
        </w:rPr>
      </w:pPr>
      <w:r>
        <w:rPr>
          <w:rFonts w:eastAsia="Aptos"/>
        </w:rPr>
        <w:t xml:space="preserve">The </w:t>
      </w:r>
      <w:r w:rsidR="002F2B8B">
        <w:rPr>
          <w:rFonts w:eastAsia="Aptos"/>
        </w:rPr>
        <w:t xml:space="preserve">current </w:t>
      </w:r>
      <w:r>
        <w:rPr>
          <w:rFonts w:eastAsia="Aptos"/>
        </w:rPr>
        <w:t xml:space="preserve">Minister </w:t>
      </w:r>
      <w:r w:rsidR="00015E09">
        <w:rPr>
          <w:rFonts w:eastAsia="Aptos"/>
        </w:rPr>
        <w:t xml:space="preserve">now </w:t>
      </w:r>
      <w:r>
        <w:rPr>
          <w:rFonts w:eastAsia="Aptos"/>
        </w:rPr>
        <w:t xml:space="preserve">assures us that the Government is investing in priority industries </w:t>
      </w:r>
      <w:r w:rsidR="001176DF">
        <w:rPr>
          <w:rFonts w:eastAsia="Aptos"/>
        </w:rPr>
        <w:t>supporting</w:t>
      </w:r>
      <w:r>
        <w:rPr>
          <w:rFonts w:eastAsia="Aptos"/>
        </w:rPr>
        <w:t xml:space="preserve"> an uplift in R&amp;D over the longer term, including the National Reconstruction Fund, the Industry Growth </w:t>
      </w:r>
      <w:r w:rsidR="004E19BB">
        <w:rPr>
          <w:rFonts w:eastAsia="Aptos"/>
        </w:rPr>
        <w:t>Program,</w:t>
      </w:r>
      <w:r>
        <w:rPr>
          <w:rFonts w:eastAsia="Aptos"/>
        </w:rPr>
        <w:t xml:space="preserve"> and the National Quantum Strategy. These are </w:t>
      </w:r>
      <w:r w:rsidR="00266AA4" w:rsidRPr="006E459D">
        <w:rPr>
          <w:rFonts w:eastAsia="Aptos"/>
          <w:i/>
          <w:iCs/>
        </w:rPr>
        <w:t>i</w:t>
      </w:r>
      <w:r w:rsidRPr="006E459D">
        <w:rPr>
          <w:rFonts w:eastAsia="Aptos"/>
          <w:i/>
          <w:iCs/>
        </w:rPr>
        <w:t>nnovation</w:t>
      </w:r>
      <w:r>
        <w:rPr>
          <w:rFonts w:eastAsia="Aptos"/>
        </w:rPr>
        <w:t xml:space="preserve"> </w:t>
      </w:r>
      <w:r>
        <w:rPr>
          <w:rFonts w:eastAsia="Aptos"/>
        </w:rPr>
        <w:lastRenderedPageBreak/>
        <w:t>programs with strong diffusion and commercialisation objectives</w:t>
      </w:r>
      <w:r w:rsidR="00266AA4">
        <w:rPr>
          <w:rFonts w:eastAsia="Aptos"/>
        </w:rPr>
        <w:t>, n</w:t>
      </w:r>
      <w:r>
        <w:rPr>
          <w:rFonts w:eastAsia="Aptos"/>
        </w:rPr>
        <w:t xml:space="preserve">ot R&amp;D </w:t>
      </w:r>
      <w:r w:rsidR="00142921">
        <w:rPr>
          <w:rFonts w:eastAsia="Aptos"/>
        </w:rPr>
        <w:t>delivery</w:t>
      </w:r>
      <w:r>
        <w:rPr>
          <w:rFonts w:eastAsia="Aptos"/>
        </w:rPr>
        <w:t xml:space="preserve">. </w:t>
      </w:r>
      <w:r w:rsidR="00266AA4">
        <w:rPr>
          <w:rFonts w:eastAsia="Aptos"/>
        </w:rPr>
        <w:t>Nonetheless, t</w:t>
      </w:r>
      <w:r>
        <w:rPr>
          <w:rFonts w:eastAsia="Aptos"/>
        </w:rPr>
        <w:t xml:space="preserve">hese programs will require strong R&amp;D capability to draw upon to succeed. </w:t>
      </w:r>
    </w:p>
    <w:p w14:paraId="5043D330" w14:textId="77777777" w:rsidR="000A0C18" w:rsidRDefault="00266AA4" w:rsidP="00C972DA">
      <w:pPr>
        <w:rPr>
          <w:rFonts w:eastAsia="Aptos"/>
        </w:rPr>
      </w:pPr>
      <w:r>
        <w:rPr>
          <w:rFonts w:eastAsia="Aptos"/>
        </w:rPr>
        <w:t>Of course, as the Productivity Commission</w:t>
      </w:r>
      <w:r w:rsidR="00B84182">
        <w:rPr>
          <w:rFonts w:eastAsia="Aptos"/>
        </w:rPr>
        <w:t xml:space="preserve"> (PC)</w:t>
      </w:r>
      <w:r>
        <w:rPr>
          <w:rFonts w:eastAsia="Aptos"/>
        </w:rPr>
        <w:t xml:space="preserve"> proposes, we could simply import the R&amp;D and the associated IP surrounding it from elsewhere. </w:t>
      </w:r>
      <w:r w:rsidR="004E19BB">
        <w:rPr>
          <w:rFonts w:eastAsia="Aptos"/>
        </w:rPr>
        <w:t>But</w:t>
      </w:r>
      <w:r w:rsidR="00142921">
        <w:rPr>
          <w:rFonts w:eastAsia="Aptos"/>
        </w:rPr>
        <w:t xml:space="preserve"> </w:t>
      </w:r>
      <w:r w:rsidR="006A5251">
        <w:rPr>
          <w:rFonts w:eastAsia="Aptos"/>
        </w:rPr>
        <w:t>IP owners may have a different view;</w:t>
      </w:r>
      <w:r w:rsidR="00DC7A2C">
        <w:rPr>
          <w:rFonts w:eastAsia="Aptos"/>
        </w:rPr>
        <w:t xml:space="preserve"> in any case, </w:t>
      </w:r>
      <w:r w:rsidR="001176DF">
        <w:rPr>
          <w:rFonts w:eastAsia="Aptos"/>
        </w:rPr>
        <w:t>this cannot be a serious option from a sovereign capability perspective</w:t>
      </w:r>
      <w:r>
        <w:rPr>
          <w:rFonts w:eastAsia="Aptos"/>
        </w:rPr>
        <w:t xml:space="preserve">. </w:t>
      </w:r>
    </w:p>
    <w:p w14:paraId="3B7B62B2" w14:textId="6A83759C" w:rsidR="00056D0D" w:rsidRDefault="00B84182" w:rsidP="00C972DA">
      <w:pPr>
        <w:rPr>
          <w:rFonts w:eastAsia="Aptos"/>
        </w:rPr>
      </w:pPr>
      <w:r>
        <w:rPr>
          <w:rFonts w:eastAsia="Aptos"/>
        </w:rPr>
        <w:t xml:space="preserve">The PC’s history is distinguished by its opposition to </w:t>
      </w:r>
      <w:r w:rsidR="00726E6D">
        <w:rPr>
          <w:rFonts w:eastAsia="Aptos"/>
        </w:rPr>
        <w:t>programs</w:t>
      </w:r>
      <w:r>
        <w:rPr>
          <w:rFonts w:eastAsia="Aptos"/>
        </w:rPr>
        <w:t xml:space="preserve"> </w:t>
      </w:r>
      <w:r w:rsidR="006A5251">
        <w:rPr>
          <w:rFonts w:eastAsia="Aptos"/>
        </w:rPr>
        <w:t>that</w:t>
      </w:r>
      <w:r>
        <w:rPr>
          <w:rFonts w:eastAsia="Aptos"/>
        </w:rPr>
        <w:t xml:space="preserve"> support high</w:t>
      </w:r>
      <w:r w:rsidR="00804A2E">
        <w:rPr>
          <w:rFonts w:eastAsia="Aptos"/>
        </w:rPr>
        <w:t>-value, high-</w:t>
      </w:r>
      <w:r>
        <w:rPr>
          <w:rFonts w:eastAsia="Aptos"/>
        </w:rPr>
        <w:t xml:space="preserve">skill manufacturing while overlooking subsidies and tax concessions </w:t>
      </w:r>
      <w:r w:rsidR="00726E6D">
        <w:rPr>
          <w:rFonts w:eastAsia="Aptos"/>
        </w:rPr>
        <w:t xml:space="preserve">for primary commodities </w:t>
      </w:r>
      <w:r w:rsidR="00497B85">
        <w:rPr>
          <w:rFonts w:eastAsia="Aptos"/>
        </w:rPr>
        <w:t>because</w:t>
      </w:r>
      <w:r w:rsidR="00726E6D">
        <w:rPr>
          <w:rFonts w:eastAsia="Aptos"/>
        </w:rPr>
        <w:t xml:space="preserve"> of their </w:t>
      </w:r>
      <w:r w:rsidR="001C7EDD">
        <w:rPr>
          <w:rFonts w:eastAsia="Aptos"/>
        </w:rPr>
        <w:t xml:space="preserve">perceived </w:t>
      </w:r>
      <w:r w:rsidR="00726E6D">
        <w:rPr>
          <w:rFonts w:eastAsia="Aptos"/>
        </w:rPr>
        <w:t xml:space="preserve">“comparative advantage”. </w:t>
      </w:r>
      <w:r w:rsidR="00056D0D">
        <w:rPr>
          <w:rFonts w:eastAsia="Aptos"/>
        </w:rPr>
        <w:t>T</w:t>
      </w:r>
      <w:r w:rsidR="00056D0D" w:rsidRPr="00056D0D">
        <w:rPr>
          <w:rFonts w:eastAsia="Aptos"/>
        </w:rPr>
        <w:t xml:space="preserve">his perception is rarely tested compared to other global commodity producers, including the USA, Canada, China, and some European States. </w:t>
      </w:r>
    </w:p>
    <w:p w14:paraId="53C0A718" w14:textId="0DA1810D" w:rsidR="003211F8" w:rsidRDefault="00056D0D" w:rsidP="00C972DA">
      <w:pPr>
        <w:rPr>
          <w:rFonts w:eastAsia="Aptos"/>
        </w:rPr>
      </w:pPr>
      <w:r w:rsidRPr="00056D0D">
        <w:rPr>
          <w:rFonts w:eastAsia="Aptos"/>
        </w:rPr>
        <w:t xml:space="preserve">Australia suffers quite </w:t>
      </w:r>
      <w:proofErr w:type="gramStart"/>
      <w:r w:rsidRPr="004370C6">
        <w:rPr>
          <w:rFonts w:eastAsia="Aptos"/>
        </w:rPr>
        <w:t>a number of</w:t>
      </w:r>
      <w:proofErr w:type="gramEnd"/>
      <w:r w:rsidRPr="004370C6">
        <w:rPr>
          <w:rFonts w:eastAsia="Aptos"/>
        </w:rPr>
        <w:t xml:space="preserve"> comparative </w:t>
      </w:r>
      <w:r w:rsidRPr="00056D0D">
        <w:rPr>
          <w:rFonts w:eastAsia="Aptos"/>
          <w:i/>
          <w:iCs/>
        </w:rPr>
        <w:t>disadvantages</w:t>
      </w:r>
      <w:r w:rsidRPr="00056D0D">
        <w:rPr>
          <w:rFonts w:eastAsia="Aptos"/>
        </w:rPr>
        <w:t xml:space="preserve">, such as drought, water supply and management, and low levels of agricultural R&amp;D (compared to the US and Europe), notwithstanding the </w:t>
      </w:r>
      <w:r>
        <w:rPr>
          <w:rFonts w:eastAsia="Aptos"/>
        </w:rPr>
        <w:t xml:space="preserve">commitment of Rural R&amp;D Corporations. </w:t>
      </w:r>
      <w:r w:rsidR="00F84467">
        <w:rPr>
          <w:rFonts w:eastAsia="Aptos"/>
        </w:rPr>
        <w:t xml:space="preserve"> </w:t>
      </w:r>
    </w:p>
    <w:p w14:paraId="77BA83DF" w14:textId="170E19AA" w:rsidR="009615AE" w:rsidRDefault="00F56A65" w:rsidP="00C972DA">
      <w:pPr>
        <w:rPr>
          <w:rFonts w:eastAsia="Aptos"/>
        </w:rPr>
      </w:pPr>
      <w:r>
        <w:rPr>
          <w:rFonts w:eastAsia="Aptos"/>
        </w:rPr>
        <w:t>Few global agtech corporations undertake</w:t>
      </w:r>
      <w:r w:rsidR="00056D0D">
        <w:rPr>
          <w:rFonts w:eastAsia="Aptos"/>
        </w:rPr>
        <w:t xml:space="preserve"> </w:t>
      </w:r>
      <w:r>
        <w:rPr>
          <w:rFonts w:eastAsia="Aptos"/>
        </w:rPr>
        <w:t>R&amp;D in Australia</w:t>
      </w:r>
      <w:r w:rsidR="004370C6">
        <w:rPr>
          <w:rFonts w:eastAsia="Aptos"/>
        </w:rPr>
        <w:t xml:space="preserve"> or have </w:t>
      </w:r>
      <w:r w:rsidR="009615AE" w:rsidRPr="009615AE">
        <w:rPr>
          <w:rFonts w:eastAsia="Aptos"/>
        </w:rPr>
        <w:t xml:space="preserve">relationships with Australian </w:t>
      </w:r>
      <w:r w:rsidR="004370C6">
        <w:rPr>
          <w:rFonts w:eastAsia="Aptos"/>
        </w:rPr>
        <w:t xml:space="preserve">public research organisations and </w:t>
      </w:r>
      <w:r w:rsidR="009615AE" w:rsidRPr="009615AE">
        <w:rPr>
          <w:rFonts w:eastAsia="Aptos"/>
        </w:rPr>
        <w:t>universities</w:t>
      </w:r>
      <w:r w:rsidR="0013252E">
        <w:rPr>
          <w:rFonts w:eastAsia="Aptos"/>
        </w:rPr>
        <w:t>—apart from students</w:t>
      </w:r>
      <w:r w:rsidR="004370C6">
        <w:rPr>
          <w:rFonts w:eastAsia="Aptos"/>
        </w:rPr>
        <w:t>. C</w:t>
      </w:r>
      <w:r w:rsidR="009615AE">
        <w:rPr>
          <w:rFonts w:eastAsia="Aptos"/>
        </w:rPr>
        <w:t xml:space="preserve">ompanies, like </w:t>
      </w:r>
      <w:r w:rsidR="009615AE" w:rsidRPr="009615AE">
        <w:rPr>
          <w:rFonts w:eastAsia="Aptos"/>
        </w:rPr>
        <w:t>Bayer, Syngenta, and BASF, have global R&amp;D programs</w:t>
      </w:r>
      <w:r w:rsidR="009615AE">
        <w:rPr>
          <w:rFonts w:eastAsia="Aptos"/>
        </w:rPr>
        <w:t>, and competition between countries to access them is intense</w:t>
      </w:r>
      <w:r w:rsidR="0013252E">
        <w:rPr>
          <w:rStyle w:val="FootnoteReference"/>
          <w:rFonts w:eastAsia="Aptos"/>
        </w:rPr>
        <w:footnoteReference w:id="14"/>
      </w:r>
      <w:r w:rsidR="009615AE">
        <w:rPr>
          <w:rFonts w:eastAsia="Aptos"/>
        </w:rPr>
        <w:t xml:space="preserve">. </w:t>
      </w:r>
    </w:p>
    <w:p w14:paraId="7A38C3DC" w14:textId="57DB24B3" w:rsidR="00726E6D" w:rsidRPr="00661D5F" w:rsidRDefault="00497B85" w:rsidP="00497B85">
      <w:pPr>
        <w:pStyle w:val="Heading1"/>
        <w:rPr>
          <w:rFonts w:eastAsia="Aptos"/>
        </w:rPr>
      </w:pPr>
      <w:bookmarkStart w:id="60" w:name="_Toc160445128"/>
      <w:r>
        <w:rPr>
          <w:rFonts w:eastAsia="Aptos"/>
        </w:rPr>
        <w:t xml:space="preserve">Towards a </w:t>
      </w:r>
      <w:r w:rsidR="00726E6D" w:rsidRPr="00661D5F">
        <w:rPr>
          <w:rFonts w:eastAsia="Aptos"/>
        </w:rPr>
        <w:t>“</w:t>
      </w:r>
      <w:r>
        <w:rPr>
          <w:rFonts w:eastAsia="Aptos"/>
        </w:rPr>
        <w:t>w</w:t>
      </w:r>
      <w:r w:rsidR="00726E6D" w:rsidRPr="00661D5F">
        <w:rPr>
          <w:rFonts w:eastAsia="Aptos"/>
        </w:rPr>
        <w:t>hole of government” strategy</w:t>
      </w:r>
      <w:bookmarkEnd w:id="60"/>
      <w:r w:rsidR="00726E6D" w:rsidRPr="00661D5F">
        <w:rPr>
          <w:rFonts w:eastAsia="Aptos"/>
        </w:rPr>
        <w:t xml:space="preserve"> </w:t>
      </w:r>
    </w:p>
    <w:p w14:paraId="7C7DA194" w14:textId="77777777" w:rsidR="009615AE" w:rsidRDefault="00C972DA" w:rsidP="00C972DA">
      <w:pPr>
        <w:rPr>
          <w:rFonts w:eastAsia="Aptos"/>
        </w:rPr>
      </w:pPr>
      <w:r>
        <w:rPr>
          <w:rFonts w:eastAsia="Aptos"/>
        </w:rPr>
        <w:t xml:space="preserve">Lifting R&amp;D is not a matter of shifting funds from one portfolio to another. It requires genuinely new and sustained </w:t>
      </w:r>
      <w:r w:rsidR="00266AA4">
        <w:rPr>
          <w:rFonts w:eastAsia="Aptos"/>
        </w:rPr>
        <w:t>public and private investment</w:t>
      </w:r>
      <w:r>
        <w:rPr>
          <w:rFonts w:eastAsia="Aptos"/>
        </w:rPr>
        <w:t xml:space="preserve"> commitment of all Ministers</w:t>
      </w:r>
      <w:r w:rsidR="00011C40">
        <w:rPr>
          <w:rFonts w:eastAsia="Aptos"/>
        </w:rPr>
        <w:t xml:space="preserve"> and business leaders</w:t>
      </w:r>
      <w:r>
        <w:rPr>
          <w:rFonts w:eastAsia="Aptos"/>
        </w:rPr>
        <w:t xml:space="preserve"> to see what is at stake.</w:t>
      </w:r>
      <w:r w:rsidR="00D85049">
        <w:rPr>
          <w:rFonts w:eastAsia="Aptos"/>
        </w:rPr>
        <w:t xml:space="preserve"> </w:t>
      </w:r>
    </w:p>
    <w:p w14:paraId="3828D137" w14:textId="252E4E46" w:rsidR="00011C40" w:rsidRDefault="008A3E77" w:rsidP="00C972DA">
      <w:pPr>
        <w:rPr>
          <w:rFonts w:eastAsia="Aptos"/>
        </w:rPr>
      </w:pPr>
      <w:r>
        <w:rPr>
          <w:rFonts w:eastAsia="Aptos"/>
        </w:rPr>
        <w:t xml:space="preserve">These are matters for the Prime Minister </w:t>
      </w:r>
      <w:r w:rsidR="002F2B8B">
        <w:rPr>
          <w:rFonts w:eastAsia="Aptos"/>
        </w:rPr>
        <w:t xml:space="preserve">to take the lead, with the support of </w:t>
      </w:r>
      <w:r w:rsidR="00015E09">
        <w:rPr>
          <w:rFonts w:eastAsia="Aptos"/>
        </w:rPr>
        <w:t>his Cabinet colleagues</w:t>
      </w:r>
      <w:r w:rsidR="00726E6D">
        <w:rPr>
          <w:rFonts w:eastAsia="Aptos"/>
        </w:rPr>
        <w:t>,</w:t>
      </w:r>
      <w:r w:rsidR="00015E09">
        <w:rPr>
          <w:rFonts w:eastAsia="Aptos"/>
        </w:rPr>
        <w:t xml:space="preserve"> through </w:t>
      </w:r>
      <w:r w:rsidR="002F2B8B">
        <w:rPr>
          <w:rFonts w:eastAsia="Aptos"/>
        </w:rPr>
        <w:t xml:space="preserve">a </w:t>
      </w:r>
      <w:r>
        <w:rPr>
          <w:rFonts w:eastAsia="Aptos"/>
        </w:rPr>
        <w:t>Cabinet sub-committee</w:t>
      </w:r>
      <w:r w:rsidR="00DC7A2C">
        <w:rPr>
          <w:rFonts w:eastAsia="Aptos"/>
        </w:rPr>
        <w:t xml:space="preserve"> at the very least but preferably through a “whole of government” tripartite industrial strategy </w:t>
      </w:r>
      <w:r w:rsidR="00726E6D">
        <w:rPr>
          <w:rFonts w:eastAsia="Aptos"/>
        </w:rPr>
        <w:t xml:space="preserve">or competitiveness </w:t>
      </w:r>
      <w:r w:rsidR="00DC7A2C">
        <w:rPr>
          <w:rFonts w:eastAsia="Aptos"/>
        </w:rPr>
        <w:t>council</w:t>
      </w:r>
      <w:r w:rsidR="00011C40">
        <w:rPr>
          <w:rFonts w:eastAsia="Aptos"/>
        </w:rPr>
        <w:t xml:space="preserve">. </w:t>
      </w:r>
    </w:p>
    <w:p w14:paraId="7C972108" w14:textId="236A4FFB" w:rsidR="008A3E77" w:rsidRDefault="00011C40" w:rsidP="00C972DA">
      <w:pPr>
        <w:rPr>
          <w:rFonts w:eastAsia="Aptos"/>
        </w:rPr>
      </w:pPr>
      <w:r>
        <w:rPr>
          <w:rFonts w:eastAsia="Aptos"/>
        </w:rPr>
        <w:t>The Business Council</w:t>
      </w:r>
      <w:r w:rsidR="00DC7A2C">
        <w:rPr>
          <w:rFonts w:eastAsia="Aptos"/>
        </w:rPr>
        <w:t xml:space="preserve"> of Australia</w:t>
      </w:r>
      <w:r>
        <w:rPr>
          <w:rFonts w:eastAsia="Aptos"/>
        </w:rPr>
        <w:t>, the Australian Investment Council, and other financial institutions must be seriously on board</w:t>
      </w:r>
      <w:r w:rsidR="00726E6D">
        <w:rPr>
          <w:rFonts w:eastAsia="Aptos"/>
        </w:rPr>
        <w:t xml:space="preserve"> as part of a national joined</w:t>
      </w:r>
      <w:r w:rsidR="006A5251">
        <w:rPr>
          <w:rFonts w:eastAsia="Aptos"/>
        </w:rPr>
        <w:t>-</w:t>
      </w:r>
      <w:r w:rsidR="00726E6D">
        <w:rPr>
          <w:rFonts w:eastAsia="Aptos"/>
        </w:rPr>
        <w:t>up strategy</w:t>
      </w:r>
      <w:r>
        <w:rPr>
          <w:rFonts w:eastAsia="Aptos"/>
        </w:rPr>
        <w:t>.</w:t>
      </w:r>
      <w:r w:rsidR="00D85049">
        <w:rPr>
          <w:rFonts w:eastAsia="Aptos"/>
        </w:rPr>
        <w:t xml:space="preserve"> </w:t>
      </w:r>
      <w:r>
        <w:rPr>
          <w:rFonts w:eastAsia="Aptos"/>
        </w:rPr>
        <w:t>It cannot be a lobbying exercise</w:t>
      </w:r>
      <w:r w:rsidR="008A3E77">
        <w:rPr>
          <w:rFonts w:eastAsia="Aptos"/>
        </w:rPr>
        <w:t xml:space="preserve"> </w:t>
      </w:r>
      <w:r>
        <w:rPr>
          <w:rFonts w:eastAsia="Aptos"/>
        </w:rPr>
        <w:t>to be orchestrated by the broad-based industry associations</w:t>
      </w:r>
      <w:r w:rsidR="002F2B8B">
        <w:rPr>
          <w:rFonts w:eastAsia="Aptos"/>
        </w:rPr>
        <w:t xml:space="preserve"> whose major purpose is to extract favour, </w:t>
      </w:r>
      <w:r w:rsidR="006A5251">
        <w:rPr>
          <w:rFonts w:eastAsia="Aptos"/>
        </w:rPr>
        <w:t>concessions,</w:t>
      </w:r>
      <w:r w:rsidR="002F2B8B">
        <w:rPr>
          <w:rFonts w:eastAsia="Aptos"/>
        </w:rPr>
        <w:t xml:space="preserve"> and subsidies </w:t>
      </w:r>
      <w:r>
        <w:rPr>
          <w:rFonts w:eastAsia="Aptos"/>
        </w:rPr>
        <w:t xml:space="preserve">from </w:t>
      </w:r>
      <w:r w:rsidR="002F2B8B">
        <w:rPr>
          <w:rFonts w:eastAsia="Aptos"/>
        </w:rPr>
        <w:t xml:space="preserve">the </w:t>
      </w:r>
      <w:r>
        <w:rPr>
          <w:rFonts w:eastAsia="Aptos"/>
        </w:rPr>
        <w:t>Government.</w:t>
      </w:r>
      <w:r w:rsidR="00D85049">
        <w:rPr>
          <w:rFonts w:eastAsia="Aptos"/>
        </w:rPr>
        <w:t xml:space="preserve"> </w:t>
      </w:r>
    </w:p>
    <w:p w14:paraId="4209E346" w14:textId="5B979450" w:rsidR="00B84182" w:rsidRDefault="008A3E77" w:rsidP="00C972DA">
      <w:pPr>
        <w:rPr>
          <w:rFonts w:eastAsia="Aptos"/>
        </w:rPr>
      </w:pPr>
      <w:r>
        <w:rPr>
          <w:rFonts w:eastAsia="Aptos"/>
        </w:rPr>
        <w:t xml:space="preserve">We can no longer rely on the “bottom-up” aggregation of the decisions and submissions of six (and possibly 14) individual Ministers and their portfolio advisers to “coordinate” Australia’s science, </w:t>
      </w:r>
      <w:r w:rsidR="00011C40">
        <w:rPr>
          <w:rFonts w:eastAsia="Aptos"/>
        </w:rPr>
        <w:t>research,</w:t>
      </w:r>
      <w:r>
        <w:rPr>
          <w:rFonts w:eastAsia="Aptos"/>
        </w:rPr>
        <w:t xml:space="preserve"> and innovation </w:t>
      </w:r>
      <w:r w:rsidR="00011C40">
        <w:rPr>
          <w:rFonts w:eastAsia="Aptos"/>
        </w:rPr>
        <w:t xml:space="preserve">investment </w:t>
      </w:r>
      <w:r>
        <w:rPr>
          <w:rFonts w:eastAsia="Aptos"/>
        </w:rPr>
        <w:t>policy.</w:t>
      </w:r>
      <w:r w:rsidR="00D85049">
        <w:rPr>
          <w:rFonts w:eastAsia="Aptos"/>
        </w:rPr>
        <w:t xml:space="preserve"> </w:t>
      </w:r>
      <w:r w:rsidR="002F2B8B">
        <w:rPr>
          <w:rFonts w:eastAsia="Aptos"/>
        </w:rPr>
        <w:t xml:space="preserve">It must be “top-down”, as </w:t>
      </w:r>
      <w:r w:rsidR="006A5251">
        <w:rPr>
          <w:rFonts w:eastAsia="Aptos"/>
        </w:rPr>
        <w:t>seen</w:t>
      </w:r>
      <w:r w:rsidR="002F2B8B">
        <w:rPr>
          <w:rFonts w:eastAsia="Aptos"/>
        </w:rPr>
        <w:t xml:space="preserve"> in several of our “peer” countries—for example, Germany, </w:t>
      </w:r>
      <w:r w:rsidR="00DC7A2C">
        <w:rPr>
          <w:rFonts w:eastAsia="Aptos"/>
        </w:rPr>
        <w:t xml:space="preserve">Netherlands, </w:t>
      </w:r>
      <w:r w:rsidR="002F2B8B">
        <w:rPr>
          <w:rFonts w:eastAsia="Aptos"/>
        </w:rPr>
        <w:t xml:space="preserve">Israel, </w:t>
      </w:r>
      <w:r w:rsidR="000620EB">
        <w:rPr>
          <w:rFonts w:eastAsia="Aptos"/>
        </w:rPr>
        <w:t>Korea,</w:t>
      </w:r>
      <w:r w:rsidR="002F2B8B">
        <w:rPr>
          <w:rFonts w:eastAsia="Aptos"/>
        </w:rPr>
        <w:t xml:space="preserve"> and the USA</w:t>
      </w:r>
      <w:r w:rsidR="00DC7A2C">
        <w:rPr>
          <w:rFonts w:eastAsia="Aptos"/>
        </w:rPr>
        <w:t xml:space="preserve"> – combined with a national network of place-based innovation ecosystems</w:t>
      </w:r>
      <w:r w:rsidR="002F2B8B">
        <w:rPr>
          <w:rFonts w:eastAsia="Aptos"/>
        </w:rPr>
        <w:t>.</w:t>
      </w:r>
      <w:r w:rsidR="00DC7A2C">
        <w:rPr>
          <w:rFonts w:eastAsia="Aptos"/>
        </w:rPr>
        <w:t xml:space="preserve"> </w:t>
      </w:r>
    </w:p>
    <w:p w14:paraId="27A3C46A" w14:textId="5C2234E0" w:rsidR="00C972DA" w:rsidRDefault="00B84182" w:rsidP="00C972DA">
      <w:pPr>
        <w:rPr>
          <w:rFonts w:eastAsia="Aptos"/>
        </w:rPr>
      </w:pPr>
      <w:r>
        <w:rPr>
          <w:rFonts w:eastAsia="Aptos"/>
        </w:rPr>
        <w:t>Examples of such ecosystems include the Fraunhofer Institutes, Catapult Centres and most recently</w:t>
      </w:r>
      <w:r w:rsidR="006A5251">
        <w:rPr>
          <w:rFonts w:eastAsia="Aptos"/>
        </w:rPr>
        <w:t>,</w:t>
      </w:r>
      <w:r>
        <w:rPr>
          <w:rFonts w:eastAsia="Aptos"/>
        </w:rPr>
        <w:t xml:space="preserve"> the US National Science Foundation (NSF) Regional Innovation Engines, Regional Technology Hubs, </w:t>
      </w:r>
      <w:proofErr w:type="spellStart"/>
      <w:r>
        <w:rPr>
          <w:rFonts w:eastAsia="Aptos"/>
        </w:rPr>
        <w:t>ManufacturingUSA</w:t>
      </w:r>
      <w:proofErr w:type="spellEnd"/>
      <w:r>
        <w:rPr>
          <w:rFonts w:eastAsia="Aptos"/>
        </w:rPr>
        <w:t xml:space="preserve"> </w:t>
      </w:r>
      <w:r w:rsidR="000620EB">
        <w:rPr>
          <w:rFonts w:eastAsia="Aptos"/>
        </w:rPr>
        <w:t>Institutes,</w:t>
      </w:r>
      <w:r>
        <w:rPr>
          <w:rFonts w:eastAsia="Aptos"/>
        </w:rPr>
        <w:t xml:space="preserve"> and the Microelectronics Commons. </w:t>
      </w:r>
      <w:r w:rsidR="00DC7A2C">
        <w:rPr>
          <w:rFonts w:eastAsia="Aptos"/>
        </w:rPr>
        <w:t>Th</w:t>
      </w:r>
      <w:r>
        <w:rPr>
          <w:rFonts w:eastAsia="Aptos"/>
        </w:rPr>
        <w:t xml:space="preserve">eir success is based on the engagement of large </w:t>
      </w:r>
      <w:r w:rsidR="00726E6D">
        <w:rPr>
          <w:rFonts w:eastAsia="Aptos"/>
        </w:rPr>
        <w:t xml:space="preserve">global </w:t>
      </w:r>
      <w:r>
        <w:rPr>
          <w:rFonts w:eastAsia="Aptos"/>
        </w:rPr>
        <w:t xml:space="preserve">knowledge-driven companies, local SME supply chains, universities and other research and education institutions. </w:t>
      </w:r>
    </w:p>
    <w:p w14:paraId="0E3FCA51" w14:textId="77777777" w:rsidR="00C972DA" w:rsidRDefault="00C972DA" w:rsidP="00C972DA">
      <w:pPr>
        <w:rPr>
          <w:rFonts w:eastAsia="Aptos"/>
        </w:rPr>
      </w:pPr>
    </w:p>
    <w:sectPr w:rsidR="00C972DA" w:rsidSect="0045339E">
      <w:pgSz w:w="11901" w:h="16817" w:code="9"/>
      <w:pgMar w:top="1440" w:right="1440" w:bottom="1440" w:left="1440" w:header="93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2718" w14:textId="77777777" w:rsidR="0045339E" w:rsidRDefault="0045339E" w:rsidP="007C267B">
      <w:pPr>
        <w:spacing w:before="0" w:after="0"/>
      </w:pPr>
      <w:r>
        <w:separator/>
      </w:r>
    </w:p>
  </w:endnote>
  <w:endnote w:type="continuationSeparator" w:id="0">
    <w:p w14:paraId="69938AD5" w14:textId="77777777" w:rsidR="0045339E" w:rsidRDefault="0045339E" w:rsidP="007C267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9744814"/>
      <w:docPartObj>
        <w:docPartGallery w:val="Page Numbers (Bottom of Page)"/>
        <w:docPartUnique/>
      </w:docPartObj>
    </w:sdtPr>
    <w:sdtContent>
      <w:p w14:paraId="1B6960BB" w14:textId="0B4704AA" w:rsidR="007C267B" w:rsidRDefault="007C267B" w:rsidP="00A32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157FCC">
          <w:rPr>
            <w:rStyle w:val="PageNumber"/>
          </w:rPr>
          <w:fldChar w:fldCharType="separate"/>
        </w:r>
        <w:r w:rsidR="00157FCC">
          <w:rPr>
            <w:rStyle w:val="PageNumber"/>
            <w:noProof/>
          </w:rPr>
          <w:t>10</w:t>
        </w:r>
        <w:r>
          <w:rPr>
            <w:rStyle w:val="PageNumber"/>
          </w:rPr>
          <w:fldChar w:fldCharType="end"/>
        </w:r>
      </w:p>
    </w:sdtContent>
  </w:sdt>
  <w:p w14:paraId="527CDE4F" w14:textId="77777777" w:rsidR="007C267B" w:rsidRDefault="007C267B" w:rsidP="007C2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127516"/>
      <w:docPartObj>
        <w:docPartGallery w:val="Page Numbers (Bottom of Page)"/>
        <w:docPartUnique/>
      </w:docPartObj>
    </w:sdtPr>
    <w:sdtContent>
      <w:p w14:paraId="5AA27A15" w14:textId="3CC2E041" w:rsidR="007C267B" w:rsidRDefault="007C267B" w:rsidP="00A325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24B0E1" w14:textId="77777777" w:rsidR="007C267B" w:rsidRDefault="007C267B" w:rsidP="007C267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11B64" w14:textId="77777777" w:rsidR="0045339E" w:rsidRDefault="0045339E" w:rsidP="007C267B">
      <w:pPr>
        <w:spacing w:before="0" w:after="0"/>
      </w:pPr>
      <w:r>
        <w:separator/>
      </w:r>
    </w:p>
  </w:footnote>
  <w:footnote w:type="continuationSeparator" w:id="0">
    <w:p w14:paraId="3C653E96" w14:textId="77777777" w:rsidR="0045339E" w:rsidRDefault="0045339E" w:rsidP="007C267B">
      <w:pPr>
        <w:spacing w:before="0" w:after="0"/>
      </w:pPr>
      <w:r>
        <w:continuationSeparator/>
      </w:r>
    </w:p>
  </w:footnote>
  <w:footnote w:id="1">
    <w:p w14:paraId="7B0D1933" w14:textId="1D0DC049" w:rsidR="000E25FC" w:rsidRPr="00EC2B6A" w:rsidRDefault="000E25FC" w:rsidP="000E25FC">
      <w:pPr>
        <w:pStyle w:val="FootnoteText"/>
        <w:rPr>
          <w:sz w:val="16"/>
          <w:szCs w:val="16"/>
        </w:rPr>
      </w:pPr>
      <w:r w:rsidRPr="00EC2B6A">
        <w:rPr>
          <w:rStyle w:val="FootnoteReference"/>
          <w:sz w:val="16"/>
          <w:szCs w:val="16"/>
        </w:rPr>
        <w:footnoteRef/>
      </w:r>
      <w:r w:rsidRPr="00EC2B6A">
        <w:rPr>
          <w:sz w:val="16"/>
          <w:szCs w:val="16"/>
        </w:rPr>
        <w:t xml:space="preserve"> </w:t>
      </w:r>
      <w:r w:rsidRPr="00EC2B6A">
        <w:rPr>
          <w:rFonts w:eastAsia="Aptos" w:cs="Times New Roman (Body CS)"/>
          <w:sz w:val="16"/>
          <w:szCs w:val="16"/>
        </w:rPr>
        <w:t xml:space="preserve">Department of Industry Science and Resources (2024), </w:t>
      </w:r>
      <w:r w:rsidRPr="00EC2B6A">
        <w:rPr>
          <w:rFonts w:eastAsia="Aptos" w:cs="Times New Roman (Body CS)"/>
          <w:i/>
          <w:iCs/>
          <w:sz w:val="16"/>
          <w:szCs w:val="16"/>
        </w:rPr>
        <w:t>Science, Research, and Innovation (SRI) Tables</w:t>
      </w:r>
      <w:r w:rsidRPr="00EC2B6A">
        <w:rPr>
          <w:rFonts w:eastAsia="Aptos" w:cs="Times New Roman (Body CS)"/>
          <w:sz w:val="16"/>
          <w:szCs w:val="16"/>
        </w:rPr>
        <w:t xml:space="preserve">, 2023-24 </w:t>
      </w:r>
      <w:hyperlink r:id="rId1" w:history="1">
        <w:r w:rsidRPr="00EC2B6A">
          <w:rPr>
            <w:rStyle w:val="Hyperlink"/>
            <w:rFonts w:eastAsia="Aptos" w:cs="Times New Roman (Body CS)"/>
            <w:sz w:val="16"/>
            <w:szCs w:val="16"/>
          </w:rPr>
          <w:t>https://www.industry.gov.au/publications/science-research-and-innovation-sri-budget-tables</w:t>
        </w:r>
      </w:hyperlink>
    </w:p>
  </w:footnote>
  <w:footnote w:id="2">
    <w:p w14:paraId="6BA1F6B3" w14:textId="6A57E924" w:rsidR="008B4B3E" w:rsidRPr="006D5E9C" w:rsidRDefault="008B4B3E" w:rsidP="008B4B3E">
      <w:pPr>
        <w:pStyle w:val="FootnoteText"/>
        <w:rPr>
          <w:sz w:val="16"/>
          <w:szCs w:val="16"/>
        </w:rPr>
      </w:pPr>
      <w:r w:rsidRPr="006D5E9C">
        <w:rPr>
          <w:rStyle w:val="FootnoteReference"/>
          <w:sz w:val="16"/>
          <w:szCs w:val="16"/>
        </w:rPr>
        <w:footnoteRef/>
      </w:r>
      <w:r w:rsidRPr="006D5E9C">
        <w:rPr>
          <w:sz w:val="16"/>
          <w:szCs w:val="16"/>
        </w:rPr>
        <w:t xml:space="preserve"> The National Reconstruction Fund and the Industry Growth Program are not R&amp;D investment programs, although they</w:t>
      </w:r>
      <w:r>
        <w:rPr>
          <w:sz w:val="16"/>
          <w:szCs w:val="16"/>
        </w:rPr>
        <w:t xml:space="preserve"> will potentially</w:t>
      </w:r>
      <w:r w:rsidR="00D85049">
        <w:rPr>
          <w:sz w:val="16"/>
          <w:szCs w:val="16"/>
        </w:rPr>
        <w:t xml:space="preserve"> </w:t>
      </w:r>
      <w:r w:rsidRPr="006D5E9C">
        <w:rPr>
          <w:sz w:val="16"/>
          <w:szCs w:val="16"/>
        </w:rPr>
        <w:t xml:space="preserve">“pull through” </w:t>
      </w:r>
      <w:r>
        <w:rPr>
          <w:sz w:val="16"/>
          <w:szCs w:val="16"/>
        </w:rPr>
        <w:t xml:space="preserve">existing, </w:t>
      </w:r>
      <w:r w:rsidR="000620EB">
        <w:rPr>
          <w:sz w:val="16"/>
          <w:szCs w:val="16"/>
        </w:rPr>
        <w:t>additional,</w:t>
      </w:r>
      <w:r>
        <w:rPr>
          <w:sz w:val="16"/>
          <w:szCs w:val="16"/>
        </w:rPr>
        <w:t xml:space="preserve"> or new </w:t>
      </w:r>
      <w:r w:rsidRPr="006D5E9C">
        <w:rPr>
          <w:sz w:val="16"/>
          <w:szCs w:val="16"/>
        </w:rPr>
        <w:t>R&amp;D</w:t>
      </w:r>
      <w:r>
        <w:rPr>
          <w:sz w:val="16"/>
          <w:szCs w:val="16"/>
        </w:rPr>
        <w:t xml:space="preserve">. In the SRI Tables, they are classified as </w:t>
      </w:r>
      <w:r w:rsidRPr="005D78E0">
        <w:rPr>
          <w:i/>
          <w:iCs/>
          <w:sz w:val="16"/>
          <w:szCs w:val="16"/>
        </w:rPr>
        <w:t>Government investment in science, research &amp; innovation (not including R&amp;D</w:t>
      </w:r>
      <w:r>
        <w:rPr>
          <w:sz w:val="16"/>
          <w:szCs w:val="16"/>
        </w:rPr>
        <w:t xml:space="preserve">). They are, therefore, not included in the $12.6 billion R&amp;D investment. The National Quantum Strategy has not yet been funded, and no budget or forward estimates are included in the </w:t>
      </w:r>
      <w:r w:rsidRPr="00ED3AB4">
        <w:rPr>
          <w:i/>
          <w:iCs/>
          <w:sz w:val="16"/>
          <w:szCs w:val="16"/>
        </w:rPr>
        <w:t>SRI Budget Tables</w:t>
      </w:r>
      <w:r>
        <w:rPr>
          <w:sz w:val="16"/>
          <w:szCs w:val="16"/>
        </w:rPr>
        <w:t xml:space="preserve">. </w:t>
      </w:r>
    </w:p>
  </w:footnote>
  <w:footnote w:id="3">
    <w:p w14:paraId="12E7E163" w14:textId="3C4F6716" w:rsidR="001E1B6E" w:rsidRPr="00A3502A" w:rsidRDefault="001E1B6E" w:rsidP="001E1B6E">
      <w:pPr>
        <w:pStyle w:val="FootnoteText"/>
        <w:spacing w:line="216" w:lineRule="auto"/>
        <w:rPr>
          <w:sz w:val="16"/>
          <w:szCs w:val="16"/>
        </w:rPr>
      </w:pPr>
      <w:r w:rsidRPr="00DB6D7A">
        <w:rPr>
          <w:rStyle w:val="FootnoteReference"/>
          <w:sz w:val="16"/>
          <w:szCs w:val="16"/>
        </w:rPr>
        <w:footnoteRef/>
      </w:r>
      <w:r w:rsidRPr="00DB6D7A">
        <w:rPr>
          <w:sz w:val="16"/>
          <w:szCs w:val="16"/>
        </w:rPr>
        <w:t xml:space="preserve"> Australian Government, </w:t>
      </w:r>
      <w:r w:rsidRPr="00DB6D7A">
        <w:rPr>
          <w:i/>
          <w:iCs/>
          <w:sz w:val="16"/>
          <w:szCs w:val="16"/>
        </w:rPr>
        <w:t>Australian</w:t>
      </w:r>
      <w:r w:rsidRPr="00A3502A">
        <w:rPr>
          <w:i/>
          <w:iCs/>
          <w:sz w:val="16"/>
          <w:szCs w:val="16"/>
        </w:rPr>
        <w:t xml:space="preserve"> Universities Accord Final Report</w:t>
      </w:r>
      <w:r w:rsidRPr="00A3502A">
        <w:rPr>
          <w:sz w:val="16"/>
          <w:szCs w:val="16"/>
        </w:rPr>
        <w:t xml:space="preserve">, 2024. </w:t>
      </w:r>
      <w:hyperlink r:id="rId2" w:history="1">
        <w:r w:rsidRPr="00A3502A">
          <w:rPr>
            <w:rStyle w:val="Hyperlink"/>
            <w:sz w:val="16"/>
            <w:szCs w:val="16"/>
          </w:rPr>
          <w:t>https://www.education.gov.au/accord-final-report</w:t>
        </w:r>
      </w:hyperlink>
      <w:r w:rsidR="00D85049">
        <w:rPr>
          <w:sz w:val="16"/>
          <w:szCs w:val="16"/>
        </w:rPr>
        <w:t xml:space="preserve"> </w:t>
      </w:r>
    </w:p>
  </w:footnote>
  <w:footnote w:id="4">
    <w:p w14:paraId="2D722EC9" w14:textId="77777777" w:rsidR="002E538A" w:rsidRPr="00A50876" w:rsidRDefault="002E538A" w:rsidP="002E538A">
      <w:pPr>
        <w:pStyle w:val="FootnoteText"/>
        <w:spacing w:line="216" w:lineRule="auto"/>
        <w:rPr>
          <w:sz w:val="16"/>
          <w:szCs w:val="16"/>
        </w:rPr>
      </w:pPr>
      <w:r w:rsidRPr="00A50876">
        <w:rPr>
          <w:rStyle w:val="FootnoteReference"/>
          <w:sz w:val="16"/>
          <w:szCs w:val="16"/>
        </w:rPr>
        <w:footnoteRef/>
      </w:r>
      <w:r w:rsidRPr="00A50876">
        <w:rPr>
          <w:sz w:val="16"/>
          <w:szCs w:val="16"/>
        </w:rPr>
        <w:t xml:space="preserve"> The Hon Ed Husic MP, 2022. Speech at the UTS Vice-Chancellor's Innovation Showcase, 3 November 2022, University of Technology Sydney </w:t>
      </w:r>
      <w:hyperlink r:id="rId3" w:history="1">
        <w:r w:rsidRPr="00A50876">
          <w:rPr>
            <w:rStyle w:val="Hyperlink"/>
            <w:sz w:val="16"/>
            <w:szCs w:val="16"/>
          </w:rPr>
          <w:t>https://www.minister.industry.gov.au/ministers/husic/speeches/speech-uts-vice-chancellors-innovation-showcase</w:t>
        </w:r>
      </w:hyperlink>
      <w:r w:rsidRPr="00A50876">
        <w:rPr>
          <w:sz w:val="16"/>
          <w:szCs w:val="16"/>
        </w:rPr>
        <w:t xml:space="preserve"> </w:t>
      </w:r>
    </w:p>
  </w:footnote>
  <w:footnote w:id="5">
    <w:p w14:paraId="79DE6ABE" w14:textId="3FE48B1C" w:rsidR="00901136" w:rsidRPr="00682C8E" w:rsidRDefault="00901136">
      <w:pPr>
        <w:pStyle w:val="FootnoteText"/>
        <w:rPr>
          <w:sz w:val="16"/>
          <w:szCs w:val="16"/>
        </w:rPr>
      </w:pPr>
      <w:r w:rsidRPr="00682C8E">
        <w:rPr>
          <w:rStyle w:val="FootnoteReference"/>
          <w:sz w:val="16"/>
          <w:szCs w:val="16"/>
        </w:rPr>
        <w:footnoteRef/>
      </w:r>
      <w:r w:rsidRPr="00682C8E">
        <w:rPr>
          <w:sz w:val="16"/>
          <w:szCs w:val="16"/>
        </w:rPr>
        <w:t xml:space="preserve"> Almost 55%</w:t>
      </w:r>
      <w:r w:rsidR="00A32921">
        <w:rPr>
          <w:sz w:val="16"/>
          <w:szCs w:val="16"/>
        </w:rPr>
        <w:t xml:space="preserve"> </w:t>
      </w:r>
      <w:r w:rsidRPr="00682C8E">
        <w:rPr>
          <w:sz w:val="16"/>
          <w:szCs w:val="16"/>
        </w:rPr>
        <w:t>of human resources devoted to R&amp;D</w:t>
      </w:r>
      <w:r w:rsidR="00313754">
        <w:rPr>
          <w:sz w:val="16"/>
          <w:szCs w:val="16"/>
        </w:rPr>
        <w:t xml:space="preserve"> (</w:t>
      </w:r>
      <w:r w:rsidR="00313754" w:rsidRPr="00313754">
        <w:rPr>
          <w:sz w:val="16"/>
          <w:szCs w:val="16"/>
        </w:rPr>
        <w:t>person</w:t>
      </w:r>
      <w:r w:rsidR="00313754">
        <w:rPr>
          <w:sz w:val="16"/>
          <w:szCs w:val="16"/>
        </w:rPr>
        <w:t>-</w:t>
      </w:r>
      <w:r w:rsidR="00313754" w:rsidRPr="00313754">
        <w:rPr>
          <w:sz w:val="16"/>
          <w:szCs w:val="16"/>
        </w:rPr>
        <w:t>years of effort (PYE)</w:t>
      </w:r>
      <w:r w:rsidR="00313754">
        <w:rPr>
          <w:sz w:val="16"/>
          <w:szCs w:val="16"/>
        </w:rPr>
        <w:t>)</w:t>
      </w:r>
      <w:r w:rsidR="00D85049">
        <w:rPr>
          <w:sz w:val="16"/>
          <w:szCs w:val="16"/>
        </w:rPr>
        <w:t xml:space="preserve"> </w:t>
      </w:r>
      <w:r w:rsidRPr="00682C8E">
        <w:rPr>
          <w:sz w:val="16"/>
          <w:szCs w:val="16"/>
        </w:rPr>
        <w:t>in Higher Education Organisations</w:t>
      </w:r>
      <w:r w:rsidR="00313754">
        <w:rPr>
          <w:sz w:val="16"/>
          <w:szCs w:val="16"/>
        </w:rPr>
        <w:t xml:space="preserve"> </w:t>
      </w:r>
      <w:r w:rsidR="00313754" w:rsidRPr="00682C8E">
        <w:rPr>
          <w:sz w:val="16"/>
          <w:szCs w:val="16"/>
        </w:rPr>
        <w:t>are PhD students</w:t>
      </w:r>
      <w:r w:rsidRPr="00682C8E">
        <w:rPr>
          <w:sz w:val="16"/>
          <w:szCs w:val="16"/>
        </w:rPr>
        <w:t xml:space="preserve">. Source: </w:t>
      </w:r>
      <w:r w:rsidR="00682C8E" w:rsidRPr="00682C8E">
        <w:rPr>
          <w:sz w:val="16"/>
          <w:szCs w:val="16"/>
        </w:rPr>
        <w:t>ABS</w:t>
      </w:r>
      <w:r w:rsidR="00A17C3D">
        <w:rPr>
          <w:sz w:val="16"/>
          <w:szCs w:val="16"/>
        </w:rPr>
        <w:t xml:space="preserve">, </w:t>
      </w:r>
      <w:r w:rsidRPr="00682C8E">
        <w:rPr>
          <w:sz w:val="16"/>
          <w:szCs w:val="16"/>
        </w:rPr>
        <w:t xml:space="preserve">2020 </w:t>
      </w:r>
      <w:hyperlink r:id="rId4" w:anchor=":~:text=Data%20downloads-,Key%20statistics,2018%20to%200.61%25%20in%202020." w:history="1">
        <w:r w:rsidRPr="00682C8E">
          <w:rPr>
            <w:rStyle w:val="Hyperlink"/>
            <w:sz w:val="16"/>
            <w:szCs w:val="16"/>
          </w:rPr>
          <w:t>Research and Experimental Development, Higher Education Organisations</w:t>
        </w:r>
      </w:hyperlink>
      <w:r w:rsidRPr="00682C8E">
        <w:rPr>
          <w:sz w:val="16"/>
          <w:szCs w:val="16"/>
        </w:rPr>
        <w:t>, Australia, 2020.</w:t>
      </w:r>
      <w:r w:rsidR="00D85049">
        <w:rPr>
          <w:sz w:val="16"/>
          <w:szCs w:val="16"/>
        </w:rPr>
        <w:t xml:space="preserve"> </w:t>
      </w:r>
      <w:r w:rsidR="00313754">
        <w:rPr>
          <w:sz w:val="16"/>
          <w:szCs w:val="16"/>
        </w:rPr>
        <w:t>Only 32% of human resources are academic staff.</w:t>
      </w:r>
      <w:r w:rsidR="00D85049">
        <w:rPr>
          <w:sz w:val="16"/>
          <w:szCs w:val="16"/>
        </w:rPr>
        <w:t xml:space="preserve"> </w:t>
      </w:r>
      <w:r w:rsidR="00A17C3D">
        <w:rPr>
          <w:sz w:val="16"/>
          <w:szCs w:val="16"/>
        </w:rPr>
        <w:t xml:space="preserve">In 2022, </w:t>
      </w:r>
      <w:r w:rsidR="008D3CCD">
        <w:rPr>
          <w:sz w:val="16"/>
          <w:szCs w:val="16"/>
        </w:rPr>
        <w:t>49.6</w:t>
      </w:r>
      <w:r w:rsidR="00A17C3D">
        <w:rPr>
          <w:sz w:val="16"/>
          <w:szCs w:val="16"/>
        </w:rPr>
        <w:t xml:space="preserve">% </w:t>
      </w:r>
      <w:r w:rsidR="00F04249">
        <w:rPr>
          <w:sz w:val="16"/>
          <w:szCs w:val="16"/>
        </w:rPr>
        <w:t xml:space="preserve">of </w:t>
      </w:r>
      <w:r w:rsidR="004E19BB">
        <w:rPr>
          <w:sz w:val="16"/>
          <w:szCs w:val="16"/>
        </w:rPr>
        <w:t xml:space="preserve">the 47,349 </w:t>
      </w:r>
      <w:r w:rsidR="00F04249">
        <w:rPr>
          <w:sz w:val="16"/>
          <w:szCs w:val="16"/>
        </w:rPr>
        <w:t xml:space="preserve">PhD </w:t>
      </w:r>
      <w:r w:rsidR="00A17C3D">
        <w:rPr>
          <w:sz w:val="16"/>
          <w:szCs w:val="16"/>
        </w:rPr>
        <w:t xml:space="preserve">students were </w:t>
      </w:r>
      <w:r w:rsidR="00F04249">
        <w:rPr>
          <w:sz w:val="16"/>
          <w:szCs w:val="16"/>
        </w:rPr>
        <w:t xml:space="preserve">from overseas. </w:t>
      </w:r>
      <w:r w:rsidR="008D3CCD">
        <w:rPr>
          <w:sz w:val="16"/>
          <w:szCs w:val="16"/>
        </w:rPr>
        <w:t>In Engineering and related technologies, 72.6% were f</w:t>
      </w:r>
      <w:r w:rsidR="00804A2E">
        <w:rPr>
          <w:sz w:val="16"/>
          <w:szCs w:val="16"/>
        </w:rPr>
        <w:t>rom</w:t>
      </w:r>
      <w:r w:rsidR="008D3CCD">
        <w:rPr>
          <w:sz w:val="16"/>
          <w:szCs w:val="16"/>
        </w:rPr>
        <w:t xml:space="preserve"> overseas</w:t>
      </w:r>
      <w:r w:rsidR="00804A2E">
        <w:rPr>
          <w:sz w:val="16"/>
          <w:szCs w:val="16"/>
        </w:rPr>
        <w:t>,</w:t>
      </w:r>
      <w:r w:rsidR="008D3CCD">
        <w:rPr>
          <w:sz w:val="16"/>
          <w:szCs w:val="16"/>
        </w:rPr>
        <w:t xml:space="preserve"> and 70.6% </w:t>
      </w:r>
      <w:r w:rsidR="00804A2E">
        <w:rPr>
          <w:sz w:val="16"/>
          <w:szCs w:val="16"/>
        </w:rPr>
        <w:t xml:space="preserve">in </w:t>
      </w:r>
      <w:r w:rsidR="008D3CCD">
        <w:rPr>
          <w:sz w:val="16"/>
          <w:szCs w:val="16"/>
        </w:rPr>
        <w:t>Information Technology</w:t>
      </w:r>
      <w:r w:rsidR="00804A2E">
        <w:rPr>
          <w:sz w:val="16"/>
          <w:szCs w:val="16"/>
        </w:rPr>
        <w:t xml:space="preserve"> were from overseas. </w:t>
      </w:r>
      <w:r w:rsidR="00A17C3D">
        <w:rPr>
          <w:sz w:val="16"/>
          <w:szCs w:val="16"/>
        </w:rPr>
        <w:t>Source</w:t>
      </w:r>
      <w:r w:rsidR="008D3CCD">
        <w:rPr>
          <w:sz w:val="16"/>
          <w:szCs w:val="16"/>
        </w:rPr>
        <w:t xml:space="preserve">: </w:t>
      </w:r>
      <w:hyperlink r:id="rId5" w:history="1">
        <w:r w:rsidR="008D3CCD" w:rsidRPr="00786B2A">
          <w:rPr>
            <w:rStyle w:val="Hyperlink"/>
            <w:sz w:val="16"/>
            <w:szCs w:val="16"/>
          </w:rPr>
          <w:t>https://www.education.gov.au/higher-education-statistics/student-data/selected-higher-education-statistics-2022-student-data</w:t>
        </w:r>
      </w:hyperlink>
      <w:r w:rsidR="008D3CCD">
        <w:rPr>
          <w:sz w:val="16"/>
          <w:szCs w:val="16"/>
        </w:rPr>
        <w:t>, sections 4 and 7.</w:t>
      </w:r>
      <w:r w:rsidR="00D85049">
        <w:rPr>
          <w:sz w:val="16"/>
          <w:szCs w:val="16"/>
        </w:rPr>
        <w:t xml:space="preserve"> </w:t>
      </w:r>
    </w:p>
  </w:footnote>
  <w:footnote w:id="6">
    <w:p w14:paraId="675F0625" w14:textId="77777777" w:rsidR="00B3337A" w:rsidRPr="00EC2B6A" w:rsidRDefault="00B3337A" w:rsidP="00B3337A">
      <w:pPr>
        <w:pStyle w:val="FootnoteText"/>
        <w:rPr>
          <w:sz w:val="16"/>
          <w:szCs w:val="16"/>
        </w:rPr>
      </w:pPr>
      <w:r w:rsidRPr="00EC2B6A">
        <w:rPr>
          <w:rStyle w:val="FootnoteReference"/>
          <w:sz w:val="16"/>
          <w:szCs w:val="16"/>
        </w:rPr>
        <w:footnoteRef/>
      </w:r>
      <w:r w:rsidRPr="00EC2B6A">
        <w:rPr>
          <w:sz w:val="16"/>
          <w:szCs w:val="16"/>
        </w:rPr>
        <w:t xml:space="preserve"> </w:t>
      </w:r>
      <w:r w:rsidRPr="00EC2B6A">
        <w:rPr>
          <w:color w:val="2A2A2A"/>
          <w:sz w:val="16"/>
          <w:szCs w:val="16"/>
          <w:shd w:val="clear" w:color="auto" w:fill="FFFFFF"/>
        </w:rPr>
        <w:t>Giovanna Ciaffi, Matteo Deleidi, Mariana Mazzucato, Measuring the macroeconomic responses to public investment in innovation: evidence from OECD countries, </w:t>
      </w:r>
      <w:r w:rsidRPr="00EC2B6A">
        <w:rPr>
          <w:rStyle w:val="Emphasis"/>
          <w:color w:val="2A2A2A"/>
          <w:sz w:val="16"/>
          <w:szCs w:val="16"/>
          <w:bdr w:val="none" w:sz="0" w:space="0" w:color="auto" w:frame="1"/>
          <w:shd w:val="clear" w:color="auto" w:fill="FFFFFF"/>
        </w:rPr>
        <w:t>Industrial and Corporate Change</w:t>
      </w:r>
      <w:r w:rsidRPr="00EC2B6A">
        <w:rPr>
          <w:color w:val="2A2A2A"/>
          <w:sz w:val="16"/>
          <w:szCs w:val="16"/>
          <w:shd w:val="clear" w:color="auto" w:fill="FFFFFF"/>
        </w:rPr>
        <w:t>, 2024</w:t>
      </w:r>
      <w:r>
        <w:rPr>
          <w:color w:val="2A2A2A"/>
          <w:sz w:val="16"/>
          <w:szCs w:val="16"/>
          <w:shd w:val="clear" w:color="auto" w:fill="FFFFFF"/>
        </w:rPr>
        <w:t xml:space="preserve">. </w:t>
      </w:r>
      <w:hyperlink r:id="rId6" w:history="1">
        <w:r w:rsidRPr="00EC2B6A">
          <w:rPr>
            <w:rStyle w:val="Hyperlink"/>
            <w:color w:val="006FB7"/>
            <w:sz w:val="16"/>
            <w:szCs w:val="16"/>
            <w:bdr w:val="none" w:sz="0" w:space="0" w:color="auto" w:frame="1"/>
            <w:shd w:val="clear" w:color="auto" w:fill="FFFFFF"/>
          </w:rPr>
          <w:t>https://doi.org/10.1093/icc/dtae005</w:t>
        </w:r>
      </w:hyperlink>
    </w:p>
  </w:footnote>
  <w:footnote w:id="7">
    <w:p w14:paraId="7C1B881F" w14:textId="2F25E5BD" w:rsidR="001B38AE" w:rsidRPr="006C3078" w:rsidRDefault="001B38AE" w:rsidP="001B38AE">
      <w:pPr>
        <w:pStyle w:val="FootnoteText"/>
        <w:rPr>
          <w:sz w:val="16"/>
          <w:szCs w:val="16"/>
        </w:rPr>
      </w:pPr>
      <w:r w:rsidRPr="006C3078">
        <w:rPr>
          <w:rStyle w:val="FootnoteReference"/>
          <w:sz w:val="16"/>
          <w:szCs w:val="16"/>
        </w:rPr>
        <w:footnoteRef/>
      </w:r>
      <w:r w:rsidRPr="006C3078">
        <w:rPr>
          <w:sz w:val="16"/>
          <w:szCs w:val="16"/>
        </w:rPr>
        <w:t xml:space="preserve"> The Ministers were Kim Carr (twice), Greg Combet, Chris Evans, Chris Bowen, Craig Emerson, Ian Macfarlane, Christopher Pyne, Greg Hunt, Arthur Sinodinos, Karen Andrews, Christian Porter, Angus Taylor, Melissa </w:t>
      </w:r>
      <w:r w:rsidR="000620EB" w:rsidRPr="006C3078">
        <w:rPr>
          <w:sz w:val="16"/>
          <w:szCs w:val="16"/>
        </w:rPr>
        <w:t>Price,</w:t>
      </w:r>
      <w:r w:rsidRPr="006C3078">
        <w:rPr>
          <w:sz w:val="16"/>
          <w:szCs w:val="16"/>
        </w:rPr>
        <w:t xml:space="preserve"> and Scott Morrison. </w:t>
      </w:r>
    </w:p>
  </w:footnote>
  <w:footnote w:id="8">
    <w:p w14:paraId="526B2474" w14:textId="7C884328" w:rsidR="00C91DF7" w:rsidRPr="00C91DF7" w:rsidRDefault="00C91DF7">
      <w:pPr>
        <w:pStyle w:val="FootnoteText"/>
        <w:rPr>
          <w:sz w:val="16"/>
          <w:szCs w:val="16"/>
        </w:rPr>
      </w:pPr>
      <w:r w:rsidRPr="00C91DF7">
        <w:rPr>
          <w:rStyle w:val="FootnoteReference"/>
          <w:sz w:val="16"/>
          <w:szCs w:val="16"/>
        </w:rPr>
        <w:footnoteRef/>
      </w:r>
      <w:r w:rsidRPr="00C91DF7">
        <w:rPr>
          <w:sz w:val="16"/>
          <w:szCs w:val="16"/>
        </w:rPr>
        <w:t xml:space="preserve"> See </w:t>
      </w:r>
      <w:r w:rsidRPr="00C91DF7">
        <w:rPr>
          <w:rFonts w:ascii="Roboto" w:hAnsi="Roboto"/>
          <w:color w:val="000000"/>
          <w:spacing w:val="2"/>
          <w:sz w:val="16"/>
          <w:szCs w:val="16"/>
          <w:shd w:val="clear" w:color="auto" w:fill="FFFFFF"/>
        </w:rPr>
        <w:t>Howard, J, January 2024, </w:t>
      </w:r>
      <w:hyperlink r:id="rId7" w:history="1">
        <w:r w:rsidRPr="00C91DF7">
          <w:rPr>
            <w:rStyle w:val="Hyperlink"/>
            <w:rFonts w:ascii="Roboto" w:hAnsi="Roboto"/>
            <w:color w:val="7B5A3D"/>
            <w:spacing w:val="2"/>
            <w:sz w:val="16"/>
            <w:szCs w:val="16"/>
            <w:shd w:val="clear" w:color="auto" w:fill="FFFFFF"/>
          </w:rPr>
          <w:t>Taxation deductions available for R&amp;D expenditure in Australia: Past and present</w:t>
        </w:r>
      </w:hyperlink>
      <w:r w:rsidRPr="00C91DF7">
        <w:rPr>
          <w:rFonts w:ascii="Roboto" w:hAnsi="Roboto"/>
          <w:color w:val="000000"/>
          <w:spacing w:val="2"/>
          <w:sz w:val="16"/>
          <w:szCs w:val="16"/>
          <w:shd w:val="clear" w:color="auto" w:fill="FFFFFF"/>
        </w:rPr>
        <w:t>, paper no: Policy Brief 1 /2024</w:t>
      </w:r>
    </w:p>
  </w:footnote>
  <w:footnote w:id="9">
    <w:p w14:paraId="02EC29BE" w14:textId="713945B0" w:rsidR="000A0C18" w:rsidRPr="000A0C18" w:rsidRDefault="000A0C18">
      <w:pPr>
        <w:pStyle w:val="FootnoteText"/>
        <w:rPr>
          <w:sz w:val="16"/>
          <w:szCs w:val="16"/>
        </w:rPr>
      </w:pPr>
      <w:r w:rsidRPr="000A0C18">
        <w:rPr>
          <w:rStyle w:val="FootnoteReference"/>
          <w:sz w:val="16"/>
          <w:szCs w:val="16"/>
        </w:rPr>
        <w:footnoteRef/>
      </w:r>
      <w:r w:rsidRPr="000A0C18">
        <w:rPr>
          <w:sz w:val="16"/>
          <w:szCs w:val="16"/>
        </w:rPr>
        <w:t xml:space="preserve"> </w:t>
      </w:r>
      <w:r w:rsidRPr="000A0C18">
        <w:rPr>
          <w:sz w:val="16"/>
          <w:szCs w:val="16"/>
        </w:rPr>
        <w:t xml:space="preserve">Hans de Wit and Philip G </w:t>
      </w:r>
      <w:proofErr w:type="spellStart"/>
      <w:r w:rsidRPr="000A0C18">
        <w:rPr>
          <w:sz w:val="16"/>
          <w:szCs w:val="16"/>
        </w:rPr>
        <w:t>Altbach</w:t>
      </w:r>
      <w:proofErr w:type="spellEnd"/>
      <w:r w:rsidRPr="000A0C18">
        <w:rPr>
          <w:sz w:val="16"/>
          <w:szCs w:val="16"/>
        </w:rPr>
        <w:t xml:space="preserve">, 2024. </w:t>
      </w:r>
      <w:r>
        <w:rPr>
          <w:sz w:val="16"/>
          <w:szCs w:val="16"/>
        </w:rPr>
        <w:t>“</w:t>
      </w:r>
      <w:r w:rsidRPr="000A0C18">
        <w:rPr>
          <w:sz w:val="16"/>
          <w:szCs w:val="16"/>
        </w:rPr>
        <w:t>Chaos as headwinds hit international student recruitment</w:t>
      </w:r>
      <w:r>
        <w:rPr>
          <w:sz w:val="16"/>
          <w:szCs w:val="16"/>
        </w:rPr>
        <w:t>”</w:t>
      </w:r>
      <w:r w:rsidRPr="000A0C18">
        <w:rPr>
          <w:sz w:val="16"/>
          <w:szCs w:val="16"/>
        </w:rPr>
        <w:t xml:space="preserve">, </w:t>
      </w:r>
      <w:r w:rsidRPr="000A0C18">
        <w:rPr>
          <w:i/>
          <w:iCs/>
          <w:sz w:val="16"/>
          <w:szCs w:val="16"/>
        </w:rPr>
        <w:t>University World News</w:t>
      </w:r>
      <w:r w:rsidRPr="000A0C18">
        <w:rPr>
          <w:sz w:val="16"/>
          <w:szCs w:val="16"/>
        </w:rPr>
        <w:t xml:space="preserve">, 20 Feb 2024. </w:t>
      </w:r>
      <w:hyperlink r:id="rId8" w:history="1">
        <w:r w:rsidRPr="000A0C18">
          <w:rPr>
            <w:rStyle w:val="Hyperlink"/>
            <w:sz w:val="16"/>
            <w:szCs w:val="16"/>
          </w:rPr>
          <w:t>https://www.universityworldnews.com/post.php?story=20240220125648569</w:t>
        </w:r>
      </w:hyperlink>
      <w:r w:rsidRPr="000A0C18">
        <w:rPr>
          <w:sz w:val="16"/>
          <w:szCs w:val="16"/>
        </w:rPr>
        <w:t xml:space="preserve">  </w:t>
      </w:r>
    </w:p>
  </w:footnote>
  <w:footnote w:id="10">
    <w:p w14:paraId="2A5AF3D5" w14:textId="1C5628BF" w:rsidR="000A0C18" w:rsidRPr="000A0C18" w:rsidRDefault="000A0C18">
      <w:pPr>
        <w:pStyle w:val="FootnoteText"/>
        <w:rPr>
          <w:sz w:val="16"/>
          <w:szCs w:val="16"/>
        </w:rPr>
      </w:pPr>
      <w:r w:rsidRPr="000A0C18">
        <w:rPr>
          <w:rStyle w:val="FootnoteReference"/>
          <w:sz w:val="16"/>
          <w:szCs w:val="16"/>
        </w:rPr>
        <w:footnoteRef/>
      </w:r>
      <w:r w:rsidRPr="000A0C18">
        <w:rPr>
          <w:sz w:val="16"/>
          <w:szCs w:val="16"/>
        </w:rPr>
        <w:t xml:space="preserve"> See </w:t>
      </w:r>
      <w:hyperlink r:id="rId9" w:history="1">
        <w:r w:rsidRPr="000A0C18">
          <w:rPr>
            <w:rStyle w:val="Hyperlink"/>
            <w:sz w:val="16"/>
            <w:szCs w:val="16"/>
          </w:rPr>
          <w:t>https://research-and-innovation.ec.europa.eu/funding/funding-opportunities/funding-programmes-and-open-calls/horizon-europe_en</w:t>
        </w:r>
      </w:hyperlink>
      <w:r w:rsidRPr="000A0C18">
        <w:rPr>
          <w:sz w:val="16"/>
          <w:szCs w:val="16"/>
        </w:rPr>
        <w:t xml:space="preserve"> </w:t>
      </w:r>
    </w:p>
  </w:footnote>
  <w:footnote w:id="11">
    <w:p w14:paraId="2F44BC87" w14:textId="7A4B94A2" w:rsidR="00045467" w:rsidRPr="000A0C18" w:rsidRDefault="00045467">
      <w:pPr>
        <w:pStyle w:val="FootnoteText"/>
        <w:rPr>
          <w:sz w:val="16"/>
          <w:szCs w:val="16"/>
        </w:rPr>
      </w:pPr>
      <w:r w:rsidRPr="000A0C18">
        <w:rPr>
          <w:rStyle w:val="FootnoteReference"/>
          <w:sz w:val="16"/>
          <w:szCs w:val="16"/>
        </w:rPr>
        <w:footnoteRef/>
      </w:r>
      <w:r w:rsidRPr="000A0C18">
        <w:rPr>
          <w:sz w:val="16"/>
          <w:szCs w:val="16"/>
        </w:rPr>
        <w:t xml:space="preserve"> ABS, 2023</w:t>
      </w:r>
      <w:r w:rsidRPr="000A0C18">
        <w:rPr>
          <w:i/>
          <w:iCs/>
          <w:sz w:val="16"/>
          <w:szCs w:val="16"/>
        </w:rPr>
        <w:t>. Australian National Accounts: Tourism Satellite Account.</w:t>
      </w:r>
      <w:r w:rsidRPr="000A0C18">
        <w:rPr>
          <w:sz w:val="16"/>
          <w:szCs w:val="16"/>
        </w:rPr>
        <w:t xml:space="preserve"> </w:t>
      </w:r>
      <w:hyperlink r:id="rId10" w:anchor=":~:text=Data%20downloads-,Key%20statistics,%2D19%20level%20of%203.1%25" w:history="1">
        <w:r w:rsidRPr="000A0C18">
          <w:rPr>
            <w:rStyle w:val="Hyperlink"/>
            <w:sz w:val="16"/>
            <w:szCs w:val="16"/>
          </w:rPr>
          <w:t>https://www.abs.gov.au/statistics/economy/national-accounts/australian-national-accounts-tourism-satellite-account/latest-release#:~:text=Data%20downloads-,Key%20statistics,%2D19%20level%20of%203.1%25</w:t>
        </w:r>
      </w:hyperlink>
      <w:r w:rsidRPr="000A0C18">
        <w:rPr>
          <w:sz w:val="16"/>
          <w:szCs w:val="16"/>
        </w:rPr>
        <w:t xml:space="preserve">. </w:t>
      </w:r>
    </w:p>
  </w:footnote>
  <w:footnote w:id="12">
    <w:p w14:paraId="042885EE" w14:textId="1A703A67" w:rsidR="005A16F2" w:rsidRPr="000A0C18" w:rsidRDefault="005A16F2">
      <w:pPr>
        <w:pStyle w:val="FootnoteText"/>
        <w:rPr>
          <w:sz w:val="16"/>
          <w:szCs w:val="16"/>
        </w:rPr>
      </w:pPr>
      <w:r w:rsidRPr="000A0C18">
        <w:rPr>
          <w:rStyle w:val="FootnoteReference"/>
          <w:sz w:val="16"/>
          <w:szCs w:val="16"/>
        </w:rPr>
        <w:footnoteRef/>
      </w:r>
      <w:r w:rsidRPr="000A0C18">
        <w:rPr>
          <w:sz w:val="16"/>
          <w:szCs w:val="16"/>
        </w:rPr>
        <w:t xml:space="preserve"> Deloitte, 2021</w:t>
      </w:r>
      <w:r w:rsidRPr="000A0C18">
        <w:rPr>
          <w:i/>
          <w:iCs/>
          <w:sz w:val="16"/>
          <w:szCs w:val="16"/>
        </w:rPr>
        <w:t xml:space="preserve">. The Value of Tourism: Exploring the challenges and optimism of Australian tourism as it embarks on the recovery journey. </w:t>
      </w:r>
      <w:hyperlink r:id="rId11" w:history="1">
        <w:r w:rsidRPr="000A0C18">
          <w:rPr>
            <w:rStyle w:val="Hyperlink"/>
            <w:i/>
            <w:iCs/>
            <w:sz w:val="16"/>
            <w:szCs w:val="16"/>
          </w:rPr>
          <w:t>https://www.deloitte.com/au/en/services/economics/perspectives/value-of-tourism.html</w:t>
        </w:r>
      </w:hyperlink>
      <w:r w:rsidRPr="000A0C18">
        <w:rPr>
          <w:i/>
          <w:iCs/>
          <w:sz w:val="16"/>
          <w:szCs w:val="16"/>
        </w:rPr>
        <w:t xml:space="preserve"> </w:t>
      </w:r>
    </w:p>
  </w:footnote>
  <w:footnote w:id="13">
    <w:p w14:paraId="3AF4DF2B" w14:textId="77777777" w:rsidR="005A16F2" w:rsidRPr="000A0C18" w:rsidRDefault="005A16F2" w:rsidP="005A16F2">
      <w:pPr>
        <w:pStyle w:val="FootnoteText"/>
        <w:rPr>
          <w:sz w:val="16"/>
          <w:szCs w:val="16"/>
        </w:rPr>
      </w:pPr>
      <w:r w:rsidRPr="000A0C18">
        <w:rPr>
          <w:rStyle w:val="FootnoteReference"/>
          <w:sz w:val="16"/>
          <w:szCs w:val="16"/>
        </w:rPr>
        <w:footnoteRef/>
      </w:r>
      <w:r w:rsidRPr="000A0C18">
        <w:rPr>
          <w:sz w:val="16"/>
          <w:szCs w:val="16"/>
        </w:rPr>
        <w:t xml:space="preserve"> Reserve Bank of Australia,2024. Composition of the Australian Economy</w:t>
      </w:r>
    </w:p>
    <w:p w14:paraId="270ECDB9" w14:textId="2B2D5A6E" w:rsidR="005A16F2" w:rsidRDefault="005A16F2" w:rsidP="005A16F2">
      <w:pPr>
        <w:pStyle w:val="FootnoteText"/>
      </w:pPr>
      <w:r w:rsidRPr="000A0C18">
        <w:rPr>
          <w:sz w:val="16"/>
          <w:szCs w:val="16"/>
        </w:rPr>
        <w:t xml:space="preserve">SNAPSHOT. </w:t>
      </w:r>
      <w:hyperlink r:id="rId12" w:anchor=":~:text=Mining%2014.3%25%2C%20Finance%207.4%25,5.7%25%2C%20Construction%207.1%25" w:history="1">
        <w:r w:rsidRPr="000A0C18">
          <w:rPr>
            <w:rStyle w:val="Hyperlink"/>
            <w:sz w:val="16"/>
            <w:szCs w:val="16"/>
          </w:rPr>
          <w:t>https://www.rba.gov.au/education/resources/snapshots/economy-composition-snapshot/#:~:text=Mining%2014.3%25%2C%20Finance%207.4%25,5.7%25%2C%20Construction%207.1%25</w:t>
        </w:r>
      </w:hyperlink>
      <w:r w:rsidRPr="000A0C18">
        <w:rPr>
          <w:sz w:val="16"/>
          <w:szCs w:val="16"/>
        </w:rPr>
        <w:t>.</w:t>
      </w:r>
      <w:r>
        <w:t xml:space="preserve">  </w:t>
      </w:r>
    </w:p>
  </w:footnote>
  <w:footnote w:id="14">
    <w:p w14:paraId="2B599D57" w14:textId="3F3AEE48" w:rsidR="0013252E" w:rsidRPr="00D77E16" w:rsidRDefault="0013252E" w:rsidP="0013252E">
      <w:pPr>
        <w:pStyle w:val="FootnoteText"/>
        <w:rPr>
          <w:sz w:val="16"/>
          <w:szCs w:val="16"/>
        </w:rPr>
      </w:pPr>
      <w:r w:rsidRPr="00D77E16">
        <w:rPr>
          <w:rStyle w:val="FootnoteReference"/>
          <w:sz w:val="16"/>
          <w:szCs w:val="16"/>
        </w:rPr>
        <w:footnoteRef/>
      </w:r>
      <w:r w:rsidRPr="00D77E16">
        <w:rPr>
          <w:sz w:val="16"/>
          <w:szCs w:val="16"/>
        </w:rPr>
        <w:t xml:space="preserve"> </w:t>
      </w:r>
      <w:r w:rsidRPr="0013252E">
        <w:rPr>
          <w:sz w:val="16"/>
          <w:szCs w:val="16"/>
        </w:rPr>
        <w:t xml:space="preserve">In 2022 Bayer reported over 700 collaborations, twelve of which were in </w:t>
      </w:r>
      <w:proofErr w:type="gramStart"/>
      <w:r w:rsidRPr="0013252E">
        <w:rPr>
          <w:sz w:val="16"/>
          <w:szCs w:val="16"/>
        </w:rPr>
        <w:t>Australia</w:t>
      </w:r>
      <w:proofErr w:type="gramEnd"/>
      <w:r w:rsidRPr="0013252E">
        <w:rPr>
          <w:sz w:val="16"/>
          <w:szCs w:val="16"/>
        </w:rPr>
        <w:t xml:space="preserve"> but none involved Agriculture. This compares with 14 in Canada, two of which involved crop science. </w:t>
      </w:r>
      <w:hyperlink r:id="rId13" w:history="1">
        <w:r w:rsidRPr="00D77E16">
          <w:rPr>
            <w:rStyle w:val="Hyperlink"/>
            <w:sz w:val="16"/>
            <w:szCs w:val="16"/>
          </w:rPr>
          <w:t>https://www.bayer.com/en/sustainability/transparency-in-science-collaborations</w:t>
        </w:r>
      </w:hyperlink>
      <w:r w:rsidRPr="00D77E16">
        <w:rPr>
          <w:sz w:val="16"/>
          <w:szCs w:val="16"/>
        </w:rPr>
        <w:t xml:space="preserve"> </w:t>
      </w:r>
      <w:r w:rsidR="007D53DB" w:rsidRPr="007D53DB">
        <w:rPr>
          <w:sz w:val="16"/>
          <w:szCs w:val="16"/>
        </w:rPr>
        <w:t xml:space="preserve">In 2019, Bayer generated sales of A$1.3 billion in Australia and New Zealand.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07829"/>
    <w:multiLevelType w:val="hybridMultilevel"/>
    <w:tmpl w:val="3606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083C85"/>
    <w:multiLevelType w:val="hybridMultilevel"/>
    <w:tmpl w:val="DF64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A87D9E"/>
    <w:multiLevelType w:val="multilevel"/>
    <w:tmpl w:val="DAD838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F6408C1"/>
    <w:multiLevelType w:val="hybridMultilevel"/>
    <w:tmpl w:val="F1F01E42"/>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B102D9"/>
    <w:multiLevelType w:val="multilevel"/>
    <w:tmpl w:val="F85A3F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A93AF7"/>
    <w:multiLevelType w:val="multilevel"/>
    <w:tmpl w:val="1DD8407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B5A3175"/>
    <w:multiLevelType w:val="hybridMultilevel"/>
    <w:tmpl w:val="26FABEAE"/>
    <w:lvl w:ilvl="0" w:tplc="D5FEFD0E">
      <w:start w:val="7"/>
      <w:numFmt w:val="bullet"/>
      <w:lvlText w:val="•"/>
      <w:lvlJc w:val="left"/>
      <w:pPr>
        <w:ind w:left="720" w:hanging="720"/>
      </w:pPr>
      <w:rPr>
        <w:rFonts w:ascii="Aptos" w:eastAsia="Aptos" w:hAnsi="Aptos"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A22EA2"/>
    <w:multiLevelType w:val="hybridMultilevel"/>
    <w:tmpl w:val="14020D50"/>
    <w:lvl w:ilvl="0" w:tplc="310864D8">
      <w:numFmt w:val="bullet"/>
      <w:lvlText w:val="•"/>
      <w:lvlJc w:val="left"/>
      <w:pPr>
        <w:ind w:left="720" w:hanging="720"/>
      </w:pPr>
      <w:rPr>
        <w:rFonts w:ascii="Aptos" w:eastAsia="Times New Roman" w:hAnsi="Aptos"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DB23D88"/>
    <w:multiLevelType w:val="multilevel"/>
    <w:tmpl w:val="EF9E3568"/>
    <w:lvl w:ilvl="0">
      <w:start w:val="1"/>
      <w:numFmt w:val="decimal"/>
      <w:lvlText w:val="%1"/>
      <w:lvlJc w:val="left"/>
      <w:pPr>
        <w:ind w:left="999" w:hanging="432"/>
      </w:pPr>
    </w:lvl>
    <w:lvl w:ilvl="1">
      <w:start w:val="1"/>
      <w:numFmt w:val="decimal"/>
      <w:lvlText w:val="%1.%2"/>
      <w:lvlJc w:val="left"/>
      <w:pPr>
        <w:ind w:left="1143" w:hanging="576"/>
      </w:pPr>
    </w:lvl>
    <w:lvl w:ilvl="2">
      <w:start w:val="1"/>
      <w:numFmt w:val="decimal"/>
      <w:lvlText w:val="%1.%2.%3"/>
      <w:lvlJc w:val="left"/>
      <w:pPr>
        <w:ind w:left="1287" w:hanging="720"/>
      </w:pPr>
    </w:lvl>
    <w:lvl w:ilvl="3">
      <w:start w:val="1"/>
      <w:numFmt w:val="decimal"/>
      <w:lvlText w:val="%1.%2.%3.%4"/>
      <w:lvlJc w:val="left"/>
      <w:pPr>
        <w:ind w:left="1431" w:hanging="864"/>
      </w:pPr>
    </w:lvl>
    <w:lvl w:ilvl="4">
      <w:start w:val="1"/>
      <w:numFmt w:val="decimal"/>
      <w:lvlText w:val="%1.%2.%3.%4.%5"/>
      <w:lvlJc w:val="left"/>
      <w:pPr>
        <w:ind w:left="1575" w:hanging="1008"/>
      </w:pPr>
    </w:lvl>
    <w:lvl w:ilvl="5">
      <w:start w:val="1"/>
      <w:numFmt w:val="decimal"/>
      <w:lvlText w:val="%1.%2.%3.%4.%5.%6"/>
      <w:lvlJc w:val="left"/>
      <w:pPr>
        <w:ind w:left="1719" w:hanging="1152"/>
      </w:pPr>
    </w:lvl>
    <w:lvl w:ilvl="6">
      <w:start w:val="1"/>
      <w:numFmt w:val="decimal"/>
      <w:lvlText w:val="%1.%2.%3.%4.%5.%6.%7"/>
      <w:lvlJc w:val="left"/>
      <w:pPr>
        <w:ind w:left="1863" w:hanging="1296"/>
      </w:pPr>
    </w:lvl>
    <w:lvl w:ilvl="7">
      <w:start w:val="1"/>
      <w:numFmt w:val="decimal"/>
      <w:lvlText w:val="%1.%2.%3.%4.%5.%6.%7.%8"/>
      <w:lvlJc w:val="left"/>
      <w:pPr>
        <w:ind w:left="2007" w:hanging="1440"/>
      </w:pPr>
    </w:lvl>
    <w:lvl w:ilvl="8">
      <w:start w:val="1"/>
      <w:numFmt w:val="decimal"/>
      <w:lvlText w:val="%1.%2.%3.%4.%5.%6.%7.%8.%9"/>
      <w:lvlJc w:val="left"/>
      <w:pPr>
        <w:ind w:left="2151" w:hanging="1584"/>
      </w:pPr>
    </w:lvl>
  </w:abstractNum>
  <w:abstractNum w:abstractNumId="9" w15:restartNumberingAfterBreak="0">
    <w:nsid w:val="603D6196"/>
    <w:multiLevelType w:val="multilevel"/>
    <w:tmpl w:val="5680E2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AAF010A"/>
    <w:multiLevelType w:val="multilevel"/>
    <w:tmpl w:val="2D14AA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EE924F1"/>
    <w:multiLevelType w:val="hybridMultilevel"/>
    <w:tmpl w:val="B9B4B79E"/>
    <w:lvl w:ilvl="0" w:tplc="D5FEFD0E">
      <w:start w:val="7"/>
      <w:numFmt w:val="bullet"/>
      <w:lvlText w:val="•"/>
      <w:lvlJc w:val="left"/>
      <w:pPr>
        <w:ind w:left="1080" w:hanging="720"/>
      </w:pPr>
      <w:rPr>
        <w:rFonts w:ascii="Aptos" w:eastAsia="Aptos" w:hAnsi="Aptos"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702375"/>
    <w:multiLevelType w:val="hybridMultilevel"/>
    <w:tmpl w:val="80D4B1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760373"/>
    <w:multiLevelType w:val="multilevel"/>
    <w:tmpl w:val="EC865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9630D76"/>
    <w:multiLevelType w:val="multilevel"/>
    <w:tmpl w:val="0FB2A10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BB51937"/>
    <w:multiLevelType w:val="hybridMultilevel"/>
    <w:tmpl w:val="F8B60C2A"/>
    <w:lvl w:ilvl="0" w:tplc="D5FEFD0E">
      <w:start w:val="7"/>
      <w:numFmt w:val="bullet"/>
      <w:lvlText w:val="•"/>
      <w:lvlJc w:val="left"/>
      <w:pPr>
        <w:ind w:left="720" w:hanging="720"/>
      </w:pPr>
      <w:rPr>
        <w:rFonts w:ascii="Aptos" w:eastAsia="Aptos" w:hAnsi="Aptos"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EAB2779"/>
    <w:multiLevelType w:val="hybridMultilevel"/>
    <w:tmpl w:val="0A408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F610091"/>
    <w:multiLevelType w:val="hybridMultilevel"/>
    <w:tmpl w:val="C6E8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16472">
    <w:abstractNumId w:val="14"/>
  </w:num>
  <w:num w:numId="2" w16cid:durableId="486290252">
    <w:abstractNumId w:val="5"/>
  </w:num>
  <w:num w:numId="3" w16cid:durableId="511190362">
    <w:abstractNumId w:val="5"/>
  </w:num>
  <w:num w:numId="4" w16cid:durableId="1190997357">
    <w:abstractNumId w:val="14"/>
  </w:num>
  <w:num w:numId="5" w16cid:durableId="1112016238">
    <w:abstractNumId w:val="14"/>
  </w:num>
  <w:num w:numId="6" w16cid:durableId="1570579119">
    <w:abstractNumId w:val="9"/>
  </w:num>
  <w:num w:numId="7" w16cid:durableId="443889726">
    <w:abstractNumId w:val="9"/>
  </w:num>
  <w:num w:numId="8" w16cid:durableId="1753966728">
    <w:abstractNumId w:val="8"/>
  </w:num>
  <w:num w:numId="9" w16cid:durableId="516122912">
    <w:abstractNumId w:val="8"/>
  </w:num>
  <w:num w:numId="10" w16cid:durableId="1543521776">
    <w:abstractNumId w:val="14"/>
  </w:num>
  <w:num w:numId="11" w16cid:durableId="1046681834">
    <w:abstractNumId w:val="14"/>
  </w:num>
  <w:num w:numId="12" w16cid:durableId="1924754869">
    <w:abstractNumId w:val="14"/>
  </w:num>
  <w:num w:numId="13" w16cid:durableId="1329476320">
    <w:abstractNumId w:val="4"/>
  </w:num>
  <w:num w:numId="14" w16cid:durableId="11095469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79217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855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9320742">
    <w:abstractNumId w:val="1"/>
  </w:num>
  <w:num w:numId="18" w16cid:durableId="1708025969">
    <w:abstractNumId w:val="16"/>
  </w:num>
  <w:num w:numId="19" w16cid:durableId="1642805571">
    <w:abstractNumId w:val="12"/>
  </w:num>
  <w:num w:numId="20" w16cid:durableId="290092589">
    <w:abstractNumId w:val="3"/>
  </w:num>
  <w:num w:numId="21" w16cid:durableId="1536894507">
    <w:abstractNumId w:val="17"/>
  </w:num>
  <w:num w:numId="22" w16cid:durableId="564268805">
    <w:abstractNumId w:val="11"/>
  </w:num>
  <w:num w:numId="23" w16cid:durableId="312952364">
    <w:abstractNumId w:val="6"/>
  </w:num>
  <w:num w:numId="24" w16cid:durableId="2003922257">
    <w:abstractNumId w:val="15"/>
  </w:num>
  <w:num w:numId="25" w16cid:durableId="1209755748">
    <w:abstractNumId w:val="0"/>
  </w:num>
  <w:num w:numId="26" w16cid:durableId="19838440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06F"/>
    <w:rsid w:val="000014DF"/>
    <w:rsid w:val="00002EB3"/>
    <w:rsid w:val="00011C40"/>
    <w:rsid w:val="00015E09"/>
    <w:rsid w:val="000210AF"/>
    <w:rsid w:val="00022566"/>
    <w:rsid w:val="000241DF"/>
    <w:rsid w:val="0002506F"/>
    <w:rsid w:val="0002664C"/>
    <w:rsid w:val="00045467"/>
    <w:rsid w:val="0004718D"/>
    <w:rsid w:val="000504B3"/>
    <w:rsid w:val="00056D0D"/>
    <w:rsid w:val="00060E82"/>
    <w:rsid w:val="00061538"/>
    <w:rsid w:val="00061691"/>
    <w:rsid w:val="00061CFA"/>
    <w:rsid w:val="000620EB"/>
    <w:rsid w:val="00062CE7"/>
    <w:rsid w:val="000646CF"/>
    <w:rsid w:val="000661CB"/>
    <w:rsid w:val="0008445D"/>
    <w:rsid w:val="00085315"/>
    <w:rsid w:val="00091C99"/>
    <w:rsid w:val="00091ED3"/>
    <w:rsid w:val="00092E08"/>
    <w:rsid w:val="000A0C18"/>
    <w:rsid w:val="000A224F"/>
    <w:rsid w:val="000B4713"/>
    <w:rsid w:val="000B6307"/>
    <w:rsid w:val="000C4121"/>
    <w:rsid w:val="000C46F4"/>
    <w:rsid w:val="000D00BE"/>
    <w:rsid w:val="000D692F"/>
    <w:rsid w:val="000E25FC"/>
    <w:rsid w:val="000E2687"/>
    <w:rsid w:val="000F12D8"/>
    <w:rsid w:val="000F1BF3"/>
    <w:rsid w:val="000F2190"/>
    <w:rsid w:val="000F5D19"/>
    <w:rsid w:val="00110496"/>
    <w:rsid w:val="00113F84"/>
    <w:rsid w:val="001176DF"/>
    <w:rsid w:val="001221D4"/>
    <w:rsid w:val="00124E08"/>
    <w:rsid w:val="00130DC6"/>
    <w:rsid w:val="001313CC"/>
    <w:rsid w:val="001318F8"/>
    <w:rsid w:val="0013252E"/>
    <w:rsid w:val="00142921"/>
    <w:rsid w:val="0014425D"/>
    <w:rsid w:val="0014710A"/>
    <w:rsid w:val="001476C1"/>
    <w:rsid w:val="0015386F"/>
    <w:rsid w:val="00156074"/>
    <w:rsid w:val="00156D4C"/>
    <w:rsid w:val="00157FCC"/>
    <w:rsid w:val="00162793"/>
    <w:rsid w:val="0016325D"/>
    <w:rsid w:val="00163AC6"/>
    <w:rsid w:val="0016634A"/>
    <w:rsid w:val="00171FE5"/>
    <w:rsid w:val="0018080C"/>
    <w:rsid w:val="001851EE"/>
    <w:rsid w:val="00186CC0"/>
    <w:rsid w:val="00187EC8"/>
    <w:rsid w:val="0019182A"/>
    <w:rsid w:val="00194147"/>
    <w:rsid w:val="00195E8E"/>
    <w:rsid w:val="001A0D55"/>
    <w:rsid w:val="001A4FAF"/>
    <w:rsid w:val="001B38AE"/>
    <w:rsid w:val="001C0EA5"/>
    <w:rsid w:val="001C2A41"/>
    <w:rsid w:val="001C7EDD"/>
    <w:rsid w:val="001C7F5D"/>
    <w:rsid w:val="001D05FE"/>
    <w:rsid w:val="001E1B6E"/>
    <w:rsid w:val="001E1CAF"/>
    <w:rsid w:val="001E7103"/>
    <w:rsid w:val="001F1ED7"/>
    <w:rsid w:val="001F6143"/>
    <w:rsid w:val="001F7377"/>
    <w:rsid w:val="00200C2E"/>
    <w:rsid w:val="00207EB8"/>
    <w:rsid w:val="00222C26"/>
    <w:rsid w:val="002246E7"/>
    <w:rsid w:val="00234457"/>
    <w:rsid w:val="00242022"/>
    <w:rsid w:val="00246E79"/>
    <w:rsid w:val="00251AC3"/>
    <w:rsid w:val="00253AB0"/>
    <w:rsid w:val="00256891"/>
    <w:rsid w:val="002663EA"/>
    <w:rsid w:val="00266AA4"/>
    <w:rsid w:val="00267B16"/>
    <w:rsid w:val="00273EE7"/>
    <w:rsid w:val="00275319"/>
    <w:rsid w:val="0027538F"/>
    <w:rsid w:val="002927A5"/>
    <w:rsid w:val="00296D2F"/>
    <w:rsid w:val="002971C7"/>
    <w:rsid w:val="002A3B8E"/>
    <w:rsid w:val="002B2256"/>
    <w:rsid w:val="002B5216"/>
    <w:rsid w:val="002C09B2"/>
    <w:rsid w:val="002C2F63"/>
    <w:rsid w:val="002D718E"/>
    <w:rsid w:val="002E538A"/>
    <w:rsid w:val="002E64E5"/>
    <w:rsid w:val="002F2B8B"/>
    <w:rsid w:val="00313754"/>
    <w:rsid w:val="003211F8"/>
    <w:rsid w:val="003249E9"/>
    <w:rsid w:val="003321CE"/>
    <w:rsid w:val="00333979"/>
    <w:rsid w:val="0034006D"/>
    <w:rsid w:val="00347F77"/>
    <w:rsid w:val="0035362F"/>
    <w:rsid w:val="003541CC"/>
    <w:rsid w:val="0036324C"/>
    <w:rsid w:val="00363C94"/>
    <w:rsid w:val="00370573"/>
    <w:rsid w:val="00374265"/>
    <w:rsid w:val="00376286"/>
    <w:rsid w:val="00380FFD"/>
    <w:rsid w:val="00383B9B"/>
    <w:rsid w:val="00384B8A"/>
    <w:rsid w:val="003869D7"/>
    <w:rsid w:val="003A3EF1"/>
    <w:rsid w:val="003C07B7"/>
    <w:rsid w:val="003C3B0B"/>
    <w:rsid w:val="003E128C"/>
    <w:rsid w:val="003E5347"/>
    <w:rsid w:val="003E5439"/>
    <w:rsid w:val="003F06DE"/>
    <w:rsid w:val="003F4E02"/>
    <w:rsid w:val="003F7EA3"/>
    <w:rsid w:val="00411F81"/>
    <w:rsid w:val="00412A26"/>
    <w:rsid w:val="0041532E"/>
    <w:rsid w:val="00417E55"/>
    <w:rsid w:val="00420150"/>
    <w:rsid w:val="004342FC"/>
    <w:rsid w:val="00435F53"/>
    <w:rsid w:val="004370C6"/>
    <w:rsid w:val="0045237D"/>
    <w:rsid w:val="0045339E"/>
    <w:rsid w:val="004607A3"/>
    <w:rsid w:val="004658A6"/>
    <w:rsid w:val="004729F8"/>
    <w:rsid w:val="0048401E"/>
    <w:rsid w:val="00492BE0"/>
    <w:rsid w:val="00497B85"/>
    <w:rsid w:val="004A2344"/>
    <w:rsid w:val="004A458E"/>
    <w:rsid w:val="004A6CEA"/>
    <w:rsid w:val="004B73EA"/>
    <w:rsid w:val="004C3C2D"/>
    <w:rsid w:val="004C41E7"/>
    <w:rsid w:val="004C6621"/>
    <w:rsid w:val="004D0064"/>
    <w:rsid w:val="004D1AE7"/>
    <w:rsid w:val="004D766E"/>
    <w:rsid w:val="004D78FE"/>
    <w:rsid w:val="004E19BB"/>
    <w:rsid w:val="004E3A02"/>
    <w:rsid w:val="004F1F73"/>
    <w:rsid w:val="004F50F2"/>
    <w:rsid w:val="004F73EE"/>
    <w:rsid w:val="005009E0"/>
    <w:rsid w:val="00502DC4"/>
    <w:rsid w:val="00515CC1"/>
    <w:rsid w:val="0052213D"/>
    <w:rsid w:val="00522974"/>
    <w:rsid w:val="0052755E"/>
    <w:rsid w:val="00545C46"/>
    <w:rsid w:val="0055125F"/>
    <w:rsid w:val="005551D0"/>
    <w:rsid w:val="005573D8"/>
    <w:rsid w:val="00575B4D"/>
    <w:rsid w:val="0057745B"/>
    <w:rsid w:val="00584B19"/>
    <w:rsid w:val="005918BA"/>
    <w:rsid w:val="005919A5"/>
    <w:rsid w:val="0059200D"/>
    <w:rsid w:val="00596920"/>
    <w:rsid w:val="00597336"/>
    <w:rsid w:val="00597CB1"/>
    <w:rsid w:val="005A05A0"/>
    <w:rsid w:val="005A16F2"/>
    <w:rsid w:val="005A4ECD"/>
    <w:rsid w:val="005A5AF1"/>
    <w:rsid w:val="005A6C4B"/>
    <w:rsid w:val="005B2CCD"/>
    <w:rsid w:val="005C2B63"/>
    <w:rsid w:val="005D6987"/>
    <w:rsid w:val="005D78E0"/>
    <w:rsid w:val="005E1577"/>
    <w:rsid w:val="005E6497"/>
    <w:rsid w:val="005E6503"/>
    <w:rsid w:val="005F01EE"/>
    <w:rsid w:val="005F4897"/>
    <w:rsid w:val="005F6F78"/>
    <w:rsid w:val="00600E55"/>
    <w:rsid w:val="00607596"/>
    <w:rsid w:val="006103C1"/>
    <w:rsid w:val="00612BD6"/>
    <w:rsid w:val="006250A3"/>
    <w:rsid w:val="00625140"/>
    <w:rsid w:val="00627A64"/>
    <w:rsid w:val="00627C06"/>
    <w:rsid w:val="0064764D"/>
    <w:rsid w:val="00651F5C"/>
    <w:rsid w:val="00652550"/>
    <w:rsid w:val="00654991"/>
    <w:rsid w:val="00654FA1"/>
    <w:rsid w:val="00655F68"/>
    <w:rsid w:val="00656535"/>
    <w:rsid w:val="00660675"/>
    <w:rsid w:val="00661D5F"/>
    <w:rsid w:val="00662374"/>
    <w:rsid w:val="00665C5F"/>
    <w:rsid w:val="0067283F"/>
    <w:rsid w:val="0067572F"/>
    <w:rsid w:val="00682C8E"/>
    <w:rsid w:val="006830E7"/>
    <w:rsid w:val="006931E5"/>
    <w:rsid w:val="006A282A"/>
    <w:rsid w:val="006A5251"/>
    <w:rsid w:val="006C49F5"/>
    <w:rsid w:val="006C550F"/>
    <w:rsid w:val="006C6CBD"/>
    <w:rsid w:val="006C6D38"/>
    <w:rsid w:val="006D09AE"/>
    <w:rsid w:val="006D5E9C"/>
    <w:rsid w:val="006E1F10"/>
    <w:rsid w:val="006E459D"/>
    <w:rsid w:val="006E7B52"/>
    <w:rsid w:val="006F0751"/>
    <w:rsid w:val="006F7DB4"/>
    <w:rsid w:val="00701A5C"/>
    <w:rsid w:val="0070556F"/>
    <w:rsid w:val="0071421B"/>
    <w:rsid w:val="00716C4A"/>
    <w:rsid w:val="00720E18"/>
    <w:rsid w:val="00726E6D"/>
    <w:rsid w:val="007356C7"/>
    <w:rsid w:val="00741EBD"/>
    <w:rsid w:val="00760636"/>
    <w:rsid w:val="0076235D"/>
    <w:rsid w:val="007662FF"/>
    <w:rsid w:val="0078101A"/>
    <w:rsid w:val="00787E9C"/>
    <w:rsid w:val="007A12B2"/>
    <w:rsid w:val="007A1DB0"/>
    <w:rsid w:val="007B2AA8"/>
    <w:rsid w:val="007C0D47"/>
    <w:rsid w:val="007C267B"/>
    <w:rsid w:val="007D53DB"/>
    <w:rsid w:val="007E1A5D"/>
    <w:rsid w:val="007E5EB4"/>
    <w:rsid w:val="007F08B1"/>
    <w:rsid w:val="007F180D"/>
    <w:rsid w:val="007F239B"/>
    <w:rsid w:val="007F23B8"/>
    <w:rsid w:val="007F4D38"/>
    <w:rsid w:val="00804A2E"/>
    <w:rsid w:val="00815B72"/>
    <w:rsid w:val="00817309"/>
    <w:rsid w:val="008209BD"/>
    <w:rsid w:val="00825086"/>
    <w:rsid w:val="008269AE"/>
    <w:rsid w:val="00832D9F"/>
    <w:rsid w:val="00833474"/>
    <w:rsid w:val="00842EE4"/>
    <w:rsid w:val="0084660C"/>
    <w:rsid w:val="00846A19"/>
    <w:rsid w:val="0085237A"/>
    <w:rsid w:val="00866E27"/>
    <w:rsid w:val="00872DB0"/>
    <w:rsid w:val="00875974"/>
    <w:rsid w:val="00881A1A"/>
    <w:rsid w:val="00885DAE"/>
    <w:rsid w:val="008954F8"/>
    <w:rsid w:val="008A2E10"/>
    <w:rsid w:val="008A3E77"/>
    <w:rsid w:val="008A3EBC"/>
    <w:rsid w:val="008B1A0C"/>
    <w:rsid w:val="008B4B3E"/>
    <w:rsid w:val="008B5B19"/>
    <w:rsid w:val="008B6D52"/>
    <w:rsid w:val="008C11F4"/>
    <w:rsid w:val="008C5618"/>
    <w:rsid w:val="008D15AE"/>
    <w:rsid w:val="008D3CCD"/>
    <w:rsid w:val="008D4950"/>
    <w:rsid w:val="008E7C9F"/>
    <w:rsid w:val="008F7110"/>
    <w:rsid w:val="00901136"/>
    <w:rsid w:val="009064FA"/>
    <w:rsid w:val="00910FDF"/>
    <w:rsid w:val="00912119"/>
    <w:rsid w:val="00914F4D"/>
    <w:rsid w:val="00916780"/>
    <w:rsid w:val="00916A90"/>
    <w:rsid w:val="00924FD6"/>
    <w:rsid w:val="00925FC8"/>
    <w:rsid w:val="009307EB"/>
    <w:rsid w:val="00931032"/>
    <w:rsid w:val="0093195C"/>
    <w:rsid w:val="009333E7"/>
    <w:rsid w:val="00933726"/>
    <w:rsid w:val="00933881"/>
    <w:rsid w:val="0094069E"/>
    <w:rsid w:val="00941C1E"/>
    <w:rsid w:val="0094370A"/>
    <w:rsid w:val="00951D90"/>
    <w:rsid w:val="00954098"/>
    <w:rsid w:val="0096060F"/>
    <w:rsid w:val="009615AE"/>
    <w:rsid w:val="00970C4E"/>
    <w:rsid w:val="00971502"/>
    <w:rsid w:val="00974257"/>
    <w:rsid w:val="00992C36"/>
    <w:rsid w:val="00992D57"/>
    <w:rsid w:val="009B54F2"/>
    <w:rsid w:val="009B6093"/>
    <w:rsid w:val="009C44E3"/>
    <w:rsid w:val="009C6F7D"/>
    <w:rsid w:val="009D2BC4"/>
    <w:rsid w:val="009E12C6"/>
    <w:rsid w:val="009E29A9"/>
    <w:rsid w:val="009E351B"/>
    <w:rsid w:val="00A12871"/>
    <w:rsid w:val="00A16890"/>
    <w:rsid w:val="00A17C3D"/>
    <w:rsid w:val="00A26504"/>
    <w:rsid w:val="00A31151"/>
    <w:rsid w:val="00A32921"/>
    <w:rsid w:val="00A425B6"/>
    <w:rsid w:val="00A431CF"/>
    <w:rsid w:val="00A44355"/>
    <w:rsid w:val="00A50876"/>
    <w:rsid w:val="00A56A9D"/>
    <w:rsid w:val="00A60645"/>
    <w:rsid w:val="00A61422"/>
    <w:rsid w:val="00A62A99"/>
    <w:rsid w:val="00A67EAF"/>
    <w:rsid w:val="00A731FD"/>
    <w:rsid w:val="00A8027C"/>
    <w:rsid w:val="00A86C5D"/>
    <w:rsid w:val="00AA3A8B"/>
    <w:rsid w:val="00AB15B7"/>
    <w:rsid w:val="00AB61B4"/>
    <w:rsid w:val="00AC43FA"/>
    <w:rsid w:val="00AC69B6"/>
    <w:rsid w:val="00AC7FA7"/>
    <w:rsid w:val="00AD0547"/>
    <w:rsid w:val="00AD1BC1"/>
    <w:rsid w:val="00AD417E"/>
    <w:rsid w:val="00AD76FD"/>
    <w:rsid w:val="00AE1C96"/>
    <w:rsid w:val="00B00069"/>
    <w:rsid w:val="00B01BE3"/>
    <w:rsid w:val="00B0257E"/>
    <w:rsid w:val="00B05115"/>
    <w:rsid w:val="00B06B9A"/>
    <w:rsid w:val="00B168FA"/>
    <w:rsid w:val="00B22F7E"/>
    <w:rsid w:val="00B235C1"/>
    <w:rsid w:val="00B240AE"/>
    <w:rsid w:val="00B252D4"/>
    <w:rsid w:val="00B27792"/>
    <w:rsid w:val="00B3004B"/>
    <w:rsid w:val="00B3337A"/>
    <w:rsid w:val="00B370D3"/>
    <w:rsid w:val="00B550B8"/>
    <w:rsid w:val="00B577DF"/>
    <w:rsid w:val="00B62C38"/>
    <w:rsid w:val="00B7285C"/>
    <w:rsid w:val="00B77448"/>
    <w:rsid w:val="00B81194"/>
    <w:rsid w:val="00B81D1D"/>
    <w:rsid w:val="00B84182"/>
    <w:rsid w:val="00B8577C"/>
    <w:rsid w:val="00B92C8C"/>
    <w:rsid w:val="00B93900"/>
    <w:rsid w:val="00BA02BF"/>
    <w:rsid w:val="00BB05A8"/>
    <w:rsid w:val="00BB25D6"/>
    <w:rsid w:val="00BB5B53"/>
    <w:rsid w:val="00BD0C1F"/>
    <w:rsid w:val="00BD568E"/>
    <w:rsid w:val="00BE0D76"/>
    <w:rsid w:val="00BF016C"/>
    <w:rsid w:val="00BF3AAC"/>
    <w:rsid w:val="00BF65AD"/>
    <w:rsid w:val="00BF6887"/>
    <w:rsid w:val="00C00675"/>
    <w:rsid w:val="00C04CE7"/>
    <w:rsid w:val="00C1385C"/>
    <w:rsid w:val="00C2728F"/>
    <w:rsid w:val="00C351FB"/>
    <w:rsid w:val="00C54F9B"/>
    <w:rsid w:val="00C631D2"/>
    <w:rsid w:val="00C76B1F"/>
    <w:rsid w:val="00C76E9A"/>
    <w:rsid w:val="00C77061"/>
    <w:rsid w:val="00C86EF6"/>
    <w:rsid w:val="00C91DF7"/>
    <w:rsid w:val="00C972DA"/>
    <w:rsid w:val="00CB2721"/>
    <w:rsid w:val="00CC0586"/>
    <w:rsid w:val="00CC416F"/>
    <w:rsid w:val="00CC51B5"/>
    <w:rsid w:val="00CD13F9"/>
    <w:rsid w:val="00CD6718"/>
    <w:rsid w:val="00CD77CE"/>
    <w:rsid w:val="00CF2B8E"/>
    <w:rsid w:val="00CF3585"/>
    <w:rsid w:val="00D00D3F"/>
    <w:rsid w:val="00D02661"/>
    <w:rsid w:val="00D10CAC"/>
    <w:rsid w:val="00D16BBB"/>
    <w:rsid w:val="00D1720F"/>
    <w:rsid w:val="00D200A7"/>
    <w:rsid w:val="00D34215"/>
    <w:rsid w:val="00D34389"/>
    <w:rsid w:val="00D363B8"/>
    <w:rsid w:val="00D43FD7"/>
    <w:rsid w:val="00D46464"/>
    <w:rsid w:val="00D574D2"/>
    <w:rsid w:val="00D77E16"/>
    <w:rsid w:val="00D812ED"/>
    <w:rsid w:val="00D85049"/>
    <w:rsid w:val="00D86518"/>
    <w:rsid w:val="00DA19E1"/>
    <w:rsid w:val="00DA2351"/>
    <w:rsid w:val="00DB0BFD"/>
    <w:rsid w:val="00DC7A2C"/>
    <w:rsid w:val="00DD1882"/>
    <w:rsid w:val="00DD5A44"/>
    <w:rsid w:val="00DF5736"/>
    <w:rsid w:val="00DF5D39"/>
    <w:rsid w:val="00DF6A12"/>
    <w:rsid w:val="00E00EBB"/>
    <w:rsid w:val="00E058A1"/>
    <w:rsid w:val="00E13A44"/>
    <w:rsid w:val="00E200F9"/>
    <w:rsid w:val="00E333FA"/>
    <w:rsid w:val="00E64111"/>
    <w:rsid w:val="00E770D5"/>
    <w:rsid w:val="00EA1EE2"/>
    <w:rsid w:val="00EA4C7E"/>
    <w:rsid w:val="00EA59E4"/>
    <w:rsid w:val="00EB756C"/>
    <w:rsid w:val="00EC04A9"/>
    <w:rsid w:val="00EC10C7"/>
    <w:rsid w:val="00EC1A64"/>
    <w:rsid w:val="00ED045E"/>
    <w:rsid w:val="00ED3AB4"/>
    <w:rsid w:val="00ED445B"/>
    <w:rsid w:val="00EF05A4"/>
    <w:rsid w:val="00F02A64"/>
    <w:rsid w:val="00F04249"/>
    <w:rsid w:val="00F06746"/>
    <w:rsid w:val="00F141AB"/>
    <w:rsid w:val="00F21A21"/>
    <w:rsid w:val="00F330F2"/>
    <w:rsid w:val="00F341C8"/>
    <w:rsid w:val="00F35345"/>
    <w:rsid w:val="00F35DE5"/>
    <w:rsid w:val="00F36240"/>
    <w:rsid w:val="00F37B6C"/>
    <w:rsid w:val="00F4107D"/>
    <w:rsid w:val="00F432F8"/>
    <w:rsid w:val="00F55123"/>
    <w:rsid w:val="00F56A65"/>
    <w:rsid w:val="00F57595"/>
    <w:rsid w:val="00F61737"/>
    <w:rsid w:val="00F65C6D"/>
    <w:rsid w:val="00F65CE5"/>
    <w:rsid w:val="00F71E26"/>
    <w:rsid w:val="00F81222"/>
    <w:rsid w:val="00F84467"/>
    <w:rsid w:val="00F84A76"/>
    <w:rsid w:val="00F864F6"/>
    <w:rsid w:val="00FA3557"/>
    <w:rsid w:val="00FA3D12"/>
    <w:rsid w:val="00FA707D"/>
    <w:rsid w:val="00FB1248"/>
    <w:rsid w:val="00FB6A8F"/>
    <w:rsid w:val="00FC5036"/>
    <w:rsid w:val="00FD093B"/>
    <w:rsid w:val="00FE0B74"/>
    <w:rsid w:val="00FE281D"/>
    <w:rsid w:val="00FE600F"/>
    <w:rsid w:val="00FE67EB"/>
    <w:rsid w:val="00FE7C8A"/>
    <w:rsid w:val="00FF2D9E"/>
    <w:rsid w:val="00FF51BC"/>
    <w:rsid w:val="00FF74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ED32"/>
  <w15:chartTrackingRefBased/>
  <w15:docId w15:val="{7A76A8B0-595D-F842-8F73-9C278EF0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26"/>
    <w:pPr>
      <w:spacing w:before="120" w:after="120"/>
    </w:pPr>
    <w:rPr>
      <w:rFonts w:eastAsia="Times New Roman" w:cs="Calibri"/>
      <w:kern w:val="0"/>
      <w:sz w:val="22"/>
      <w:szCs w:val="20"/>
      <w:lang w:eastAsia="en-GB"/>
      <w14:ligatures w14:val="none"/>
    </w:rPr>
  </w:style>
  <w:style w:type="paragraph" w:styleId="Heading1">
    <w:name w:val="heading 1"/>
    <w:basedOn w:val="Normal"/>
    <w:next w:val="Normal"/>
    <w:link w:val="Heading1Char"/>
    <w:uiPriority w:val="9"/>
    <w:qFormat/>
    <w:rsid w:val="00832D9F"/>
    <w:pPr>
      <w:keepNext/>
      <w:keepLines/>
      <w:spacing w:before="240"/>
      <w:outlineLvl w:val="0"/>
    </w:pPr>
    <w:rPr>
      <w:rFonts w:asciiTheme="majorHAnsi" w:eastAsiaTheme="majorEastAsia" w:hAnsiTheme="majorHAnsi" w:cstheme="majorBidi"/>
      <w:b/>
      <w:color w:val="0F4761" w:themeColor="accent1" w:themeShade="BF"/>
      <w:sz w:val="32"/>
      <w:szCs w:val="32"/>
    </w:rPr>
  </w:style>
  <w:style w:type="paragraph" w:styleId="Heading2">
    <w:name w:val="heading 2"/>
    <w:basedOn w:val="Normal"/>
    <w:next w:val="Normal"/>
    <w:link w:val="Heading2Char"/>
    <w:uiPriority w:val="9"/>
    <w:unhideWhenUsed/>
    <w:qFormat/>
    <w:rsid w:val="00832D9F"/>
    <w:pPr>
      <w:keepNext/>
      <w:keepLines/>
      <w:spacing w:before="240"/>
      <w:outlineLvl w:val="1"/>
    </w:pPr>
    <w:rPr>
      <w:rFonts w:asciiTheme="majorHAnsi" w:eastAsiaTheme="majorEastAsia" w:hAnsiTheme="majorHAnsi" w:cstheme="majorBidi"/>
      <w:b/>
      <w:color w:val="0F4761" w:themeColor="accent1" w:themeShade="BF"/>
      <w:sz w:val="28"/>
      <w:szCs w:val="26"/>
    </w:rPr>
  </w:style>
  <w:style w:type="paragraph" w:styleId="Heading3">
    <w:name w:val="heading 3"/>
    <w:basedOn w:val="Normal"/>
    <w:next w:val="Normal"/>
    <w:link w:val="Heading3Char"/>
    <w:uiPriority w:val="9"/>
    <w:unhideWhenUsed/>
    <w:qFormat/>
    <w:rsid w:val="004F50F2"/>
    <w:pPr>
      <w:keepNext/>
      <w:keepLines/>
      <w:outlineLvl w:val="2"/>
    </w:pPr>
    <w:rPr>
      <w:rFonts w:eastAsiaTheme="majorEastAsia" w:cstheme="majorBidi"/>
      <w:b/>
      <w:i/>
      <w:color w:val="0A2F40" w:themeColor="accent1" w:themeShade="7F"/>
    </w:rPr>
  </w:style>
  <w:style w:type="paragraph" w:styleId="Heading4">
    <w:name w:val="heading 4"/>
    <w:basedOn w:val="Normal"/>
    <w:next w:val="Normal"/>
    <w:link w:val="Heading4Char"/>
    <w:uiPriority w:val="9"/>
    <w:unhideWhenUsed/>
    <w:qFormat/>
    <w:rsid w:val="00832D9F"/>
    <w:pPr>
      <w:keepNext/>
      <w:keepLines/>
      <w:outlineLvl w:val="3"/>
    </w:pPr>
    <w:rPr>
      <w:rFonts w:eastAsiaTheme="majorEastAsia" w:cstheme="majorBidi"/>
      <w:b/>
      <w:i/>
      <w:iCs/>
      <w:color w:val="0F4761" w:themeColor="accent1" w:themeShade="BF"/>
      <w:sz w:val="24"/>
    </w:rPr>
  </w:style>
  <w:style w:type="paragraph" w:styleId="Heading5">
    <w:name w:val="heading 5"/>
    <w:basedOn w:val="Normal"/>
    <w:next w:val="Normal"/>
    <w:link w:val="Heading5Char"/>
    <w:uiPriority w:val="9"/>
    <w:semiHidden/>
    <w:unhideWhenUsed/>
    <w:qFormat/>
    <w:rsid w:val="000250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0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0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0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0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BF65AD"/>
    <w:pPr>
      <w:jc w:val="center"/>
    </w:pPr>
    <w:rPr>
      <w:b/>
      <w:iCs/>
      <w:color w:val="0E2841" w:themeColor="text2"/>
      <w:szCs w:val="18"/>
    </w:rPr>
  </w:style>
  <w:style w:type="character" w:customStyle="1" w:styleId="Heading1Char">
    <w:name w:val="Heading 1 Char"/>
    <w:basedOn w:val="DefaultParagraphFont"/>
    <w:link w:val="Heading1"/>
    <w:uiPriority w:val="9"/>
    <w:rsid w:val="00832D9F"/>
    <w:rPr>
      <w:rFonts w:asciiTheme="majorHAnsi" w:eastAsiaTheme="majorEastAsia" w:hAnsiTheme="majorHAnsi" w:cstheme="majorBidi"/>
      <w:b/>
      <w:color w:val="0F4761" w:themeColor="accent1" w:themeShade="BF"/>
      <w:kern w:val="0"/>
      <w:sz w:val="32"/>
      <w:szCs w:val="32"/>
      <w:lang w:eastAsia="en-GB"/>
      <w14:ligatures w14:val="none"/>
    </w:rPr>
  </w:style>
  <w:style w:type="paragraph" w:styleId="Title">
    <w:name w:val="Title"/>
    <w:basedOn w:val="Normal"/>
    <w:next w:val="Normal"/>
    <w:link w:val="TitleChar"/>
    <w:qFormat/>
    <w:rsid w:val="008A3EBC"/>
    <w:pPr>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rsid w:val="008A3EBC"/>
    <w:rPr>
      <w:rFonts w:eastAsiaTheme="majorEastAsia" w:cstheme="majorBidi"/>
      <w:spacing w:val="-10"/>
      <w:kern w:val="28"/>
      <w:sz w:val="32"/>
      <w:szCs w:val="56"/>
    </w:rPr>
  </w:style>
  <w:style w:type="paragraph" w:styleId="ListParagraph">
    <w:name w:val="List Paragraph"/>
    <w:aliases w:val="List Paragraph1,Recommendation,L,List Paragraph11,Bulleted Para,NFP GP Bulleted List,List Paragraph2,FooterText,numbered,Paragraphe de liste1,Bulletr List Paragraph,列出段落,列出段落1,List Paragraph21,Listeafsnit1,Parágrafo da Lista1,リスト段落1,CV t"/>
    <w:basedOn w:val="Normal"/>
    <w:link w:val="ListParagraphChar"/>
    <w:uiPriority w:val="34"/>
    <w:qFormat/>
    <w:rsid w:val="004B73EA"/>
    <w:pPr>
      <w:spacing w:before="60" w:after="60"/>
    </w:pPr>
  </w:style>
  <w:style w:type="character" w:customStyle="1" w:styleId="ListParagraphChar">
    <w:name w:val="List Paragraph Char"/>
    <w:aliases w:val="List Paragraph1 Char,Recommendation Char,L Char,List Paragraph11 Char,Bulleted Para Char,NFP GP Bulleted List Char,List Paragraph2 Char,FooterText Char,numbered Char,Paragraphe de liste1 Char,Bulletr List Paragraph Char,列出段落 Char"/>
    <w:link w:val="ListParagraph"/>
    <w:uiPriority w:val="34"/>
    <w:qFormat/>
    <w:locked/>
    <w:rsid w:val="004B73EA"/>
    <w:rPr>
      <w:sz w:val="22"/>
    </w:rPr>
  </w:style>
  <w:style w:type="paragraph" w:styleId="TableofFigures">
    <w:name w:val="table of figures"/>
    <w:basedOn w:val="Normal"/>
    <w:next w:val="Normal"/>
    <w:uiPriority w:val="99"/>
    <w:unhideWhenUsed/>
    <w:rsid w:val="00933726"/>
    <w:pPr>
      <w:ind w:left="442" w:hanging="442"/>
      <w:contextualSpacing/>
    </w:pPr>
    <w:rPr>
      <w:rFonts w:asciiTheme="majorHAnsi" w:hAnsiTheme="majorHAnsi" w:cstheme="minorHAnsi"/>
      <w:bCs/>
      <w:sz w:val="20"/>
    </w:rPr>
  </w:style>
  <w:style w:type="character" w:customStyle="1" w:styleId="Heading4Char">
    <w:name w:val="Heading 4 Char"/>
    <w:basedOn w:val="DefaultParagraphFont"/>
    <w:link w:val="Heading4"/>
    <w:uiPriority w:val="9"/>
    <w:rsid w:val="00832D9F"/>
    <w:rPr>
      <w:rFonts w:eastAsiaTheme="majorEastAsia" w:cstheme="majorBidi"/>
      <w:b/>
      <w:i/>
      <w:iCs/>
      <w:color w:val="0F4761" w:themeColor="accent1" w:themeShade="BF"/>
      <w:kern w:val="0"/>
      <w:szCs w:val="20"/>
      <w:lang w:eastAsia="en-GB"/>
      <w14:ligatures w14:val="none"/>
    </w:rPr>
  </w:style>
  <w:style w:type="character" w:customStyle="1" w:styleId="Heading3Char">
    <w:name w:val="Heading 3 Char"/>
    <w:basedOn w:val="DefaultParagraphFont"/>
    <w:link w:val="Heading3"/>
    <w:uiPriority w:val="9"/>
    <w:rsid w:val="004F50F2"/>
    <w:rPr>
      <w:rFonts w:eastAsiaTheme="majorEastAsia" w:cstheme="majorBidi"/>
      <w:b/>
      <w:i/>
      <w:color w:val="0A2F40" w:themeColor="accent1" w:themeShade="7F"/>
      <w:sz w:val="22"/>
    </w:rPr>
  </w:style>
  <w:style w:type="character" w:customStyle="1" w:styleId="Heading2Char">
    <w:name w:val="Heading 2 Char"/>
    <w:basedOn w:val="DefaultParagraphFont"/>
    <w:link w:val="Heading2"/>
    <w:uiPriority w:val="9"/>
    <w:rsid w:val="00832D9F"/>
    <w:rPr>
      <w:rFonts w:asciiTheme="majorHAnsi" w:eastAsiaTheme="majorEastAsia" w:hAnsiTheme="majorHAnsi" w:cstheme="majorBidi"/>
      <w:b/>
      <w:color w:val="0F4761" w:themeColor="accent1" w:themeShade="BF"/>
      <w:kern w:val="0"/>
      <w:sz w:val="28"/>
      <w:szCs w:val="26"/>
      <w:lang w:eastAsia="en-GB"/>
      <w14:ligatures w14:val="none"/>
    </w:rPr>
  </w:style>
  <w:style w:type="paragraph" w:styleId="TOC1">
    <w:name w:val="toc 1"/>
    <w:basedOn w:val="Normal"/>
    <w:next w:val="Normal"/>
    <w:autoRedefine/>
    <w:uiPriority w:val="39"/>
    <w:unhideWhenUsed/>
    <w:rsid w:val="00933726"/>
    <w:pPr>
      <w:tabs>
        <w:tab w:val="right" w:leader="dot" w:pos="9317"/>
      </w:tabs>
      <w:spacing w:before="240"/>
    </w:pPr>
    <w:rPr>
      <w:rFonts w:asciiTheme="majorHAnsi" w:hAnsiTheme="majorHAnsi"/>
      <w:bCs/>
    </w:rPr>
  </w:style>
  <w:style w:type="paragraph" w:styleId="TOC3">
    <w:name w:val="toc 3"/>
    <w:basedOn w:val="Normal"/>
    <w:next w:val="Normal"/>
    <w:autoRedefine/>
    <w:uiPriority w:val="39"/>
    <w:unhideWhenUsed/>
    <w:qFormat/>
    <w:rsid w:val="002D718E"/>
    <w:pPr>
      <w:spacing w:before="0" w:after="0"/>
      <w:ind w:left="440"/>
    </w:pPr>
    <w:rPr>
      <w:sz w:val="20"/>
    </w:rPr>
  </w:style>
  <w:style w:type="paragraph" w:styleId="TOC2">
    <w:name w:val="toc 2"/>
    <w:basedOn w:val="Normal"/>
    <w:next w:val="Normal"/>
    <w:autoRedefine/>
    <w:uiPriority w:val="39"/>
    <w:unhideWhenUsed/>
    <w:rsid w:val="00497B85"/>
    <w:pPr>
      <w:spacing w:before="0" w:after="0"/>
      <w:ind w:left="221"/>
    </w:pPr>
    <w:rPr>
      <w:i/>
      <w:iCs/>
      <w:sz w:val="20"/>
    </w:rPr>
  </w:style>
  <w:style w:type="paragraph" w:styleId="Quote">
    <w:name w:val="Quote"/>
    <w:basedOn w:val="Normal"/>
    <w:next w:val="Normal"/>
    <w:link w:val="QuoteChar"/>
    <w:uiPriority w:val="29"/>
    <w:qFormat/>
    <w:rsid w:val="00FB1248"/>
    <w:pPr>
      <w:spacing w:line="228" w:lineRule="auto"/>
      <w:ind w:left="431" w:right="431"/>
    </w:pPr>
    <w:rPr>
      <w:rFonts w:cs="Times New Roman"/>
      <w:iCs/>
      <w:color w:val="404040" w:themeColor="text1" w:themeTint="BF"/>
    </w:rPr>
  </w:style>
  <w:style w:type="character" w:customStyle="1" w:styleId="QuoteChar">
    <w:name w:val="Quote Char"/>
    <w:basedOn w:val="DefaultParagraphFont"/>
    <w:link w:val="Quote"/>
    <w:uiPriority w:val="29"/>
    <w:rsid w:val="00FB1248"/>
    <w:rPr>
      <w:rFonts w:eastAsia="Times New Roman" w:cs="Times New Roman"/>
      <w:iCs/>
      <w:color w:val="404040" w:themeColor="text1" w:themeTint="BF"/>
      <w:kern w:val="0"/>
      <w:sz w:val="22"/>
      <w:szCs w:val="20"/>
      <w:lang w:eastAsia="en-GB"/>
      <w14:ligatures w14:val="none"/>
    </w:rPr>
  </w:style>
  <w:style w:type="character" w:customStyle="1" w:styleId="Heading5Char">
    <w:name w:val="Heading 5 Char"/>
    <w:basedOn w:val="DefaultParagraphFont"/>
    <w:link w:val="Heading5"/>
    <w:uiPriority w:val="9"/>
    <w:semiHidden/>
    <w:rsid w:val="0002506F"/>
    <w:rPr>
      <w:rFonts w:eastAsiaTheme="majorEastAsia" w:cstheme="majorBidi"/>
      <w:color w:val="0F4761" w:themeColor="accent1" w:themeShade="BF"/>
      <w:sz w:val="22"/>
    </w:rPr>
  </w:style>
  <w:style w:type="character" w:customStyle="1" w:styleId="Heading6Char">
    <w:name w:val="Heading 6 Char"/>
    <w:basedOn w:val="DefaultParagraphFont"/>
    <w:link w:val="Heading6"/>
    <w:uiPriority w:val="9"/>
    <w:semiHidden/>
    <w:rsid w:val="0002506F"/>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02506F"/>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02506F"/>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02506F"/>
    <w:rPr>
      <w:rFonts w:eastAsiaTheme="majorEastAsia" w:cstheme="majorBidi"/>
      <w:color w:val="272727" w:themeColor="text1" w:themeTint="D8"/>
      <w:sz w:val="22"/>
    </w:rPr>
  </w:style>
  <w:style w:type="paragraph" w:styleId="Subtitle">
    <w:name w:val="Subtitle"/>
    <w:basedOn w:val="Normal"/>
    <w:next w:val="Normal"/>
    <w:link w:val="SubtitleChar"/>
    <w:uiPriority w:val="11"/>
    <w:qFormat/>
    <w:rsid w:val="000250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06F"/>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02506F"/>
    <w:rPr>
      <w:i/>
      <w:iCs/>
      <w:color w:val="0F4761" w:themeColor="accent1" w:themeShade="BF"/>
    </w:rPr>
  </w:style>
  <w:style w:type="paragraph" w:styleId="IntenseQuote">
    <w:name w:val="Intense Quote"/>
    <w:basedOn w:val="Normal"/>
    <w:next w:val="Normal"/>
    <w:link w:val="IntenseQuoteChar"/>
    <w:uiPriority w:val="30"/>
    <w:qFormat/>
    <w:rsid w:val="000250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06F"/>
    <w:rPr>
      <w:i/>
      <w:iCs/>
      <w:color w:val="0F4761" w:themeColor="accent1" w:themeShade="BF"/>
      <w:sz w:val="22"/>
    </w:rPr>
  </w:style>
  <w:style w:type="character" w:styleId="IntenseReference">
    <w:name w:val="Intense Reference"/>
    <w:basedOn w:val="DefaultParagraphFont"/>
    <w:uiPriority w:val="32"/>
    <w:qFormat/>
    <w:rsid w:val="0002506F"/>
    <w:rPr>
      <w:b/>
      <w:bCs/>
      <w:smallCaps/>
      <w:color w:val="0F4761" w:themeColor="accent1" w:themeShade="BF"/>
      <w:spacing w:val="5"/>
    </w:rPr>
  </w:style>
  <w:style w:type="character" w:styleId="Hyperlink">
    <w:name w:val="Hyperlink"/>
    <w:basedOn w:val="DefaultParagraphFont"/>
    <w:uiPriority w:val="99"/>
    <w:unhideWhenUsed/>
    <w:rsid w:val="0002506F"/>
    <w:rPr>
      <w:color w:val="0000FF"/>
      <w:u w:val="single"/>
    </w:rPr>
  </w:style>
  <w:style w:type="paragraph" w:styleId="NormalWeb">
    <w:name w:val="Normal (Web)"/>
    <w:basedOn w:val="Normal"/>
    <w:uiPriority w:val="99"/>
    <w:semiHidden/>
    <w:unhideWhenUsed/>
    <w:rsid w:val="0002506F"/>
    <w:pPr>
      <w:spacing w:before="100" w:beforeAutospacing="1" w:after="100" w:afterAutospacing="1"/>
    </w:pPr>
    <w:rPr>
      <w:rFonts w:ascii="Aptos" w:eastAsiaTheme="minorHAnsi" w:hAnsi="Aptos" w:cs="Aptos"/>
      <w:sz w:val="24"/>
      <w:szCs w:val="24"/>
    </w:rPr>
  </w:style>
  <w:style w:type="paragraph" w:customStyle="1" w:styleId="m-7757245257277101081msolistparagraph">
    <w:name w:val="m-7757245257277101081msolistparagraph"/>
    <w:basedOn w:val="Normal"/>
    <w:uiPriority w:val="99"/>
    <w:semiHidden/>
    <w:rsid w:val="0002506F"/>
    <w:pPr>
      <w:spacing w:before="100" w:beforeAutospacing="1" w:after="100" w:afterAutospacing="1"/>
    </w:pPr>
  </w:style>
  <w:style w:type="character" w:customStyle="1" w:styleId="m-7757245257277101081gmailsignatureprefix">
    <w:name w:val="m-7757245257277101081gmailsignatureprefix"/>
    <w:basedOn w:val="DefaultParagraphFont"/>
    <w:rsid w:val="0002506F"/>
  </w:style>
  <w:style w:type="character" w:customStyle="1" w:styleId="gmailsignatureprefix">
    <w:name w:val="gmailsignatureprefix"/>
    <w:basedOn w:val="DefaultParagraphFont"/>
    <w:rsid w:val="0002506F"/>
  </w:style>
  <w:style w:type="table" w:styleId="TableGridLight">
    <w:name w:val="Grid Table Light"/>
    <w:basedOn w:val="TableNormal"/>
    <w:uiPriority w:val="40"/>
    <w:rsid w:val="005B2C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5B2C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5B2C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5B2C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er">
    <w:name w:val="footer"/>
    <w:basedOn w:val="Normal"/>
    <w:link w:val="FooterChar"/>
    <w:uiPriority w:val="99"/>
    <w:unhideWhenUsed/>
    <w:rsid w:val="007C267B"/>
    <w:pPr>
      <w:tabs>
        <w:tab w:val="center" w:pos="4513"/>
        <w:tab w:val="right" w:pos="9026"/>
      </w:tabs>
      <w:spacing w:before="0" w:after="0"/>
    </w:pPr>
  </w:style>
  <w:style w:type="character" w:customStyle="1" w:styleId="FooterChar">
    <w:name w:val="Footer Char"/>
    <w:basedOn w:val="DefaultParagraphFont"/>
    <w:link w:val="Footer"/>
    <w:uiPriority w:val="99"/>
    <w:rsid w:val="007C267B"/>
    <w:rPr>
      <w:rFonts w:eastAsia="Times New Roman" w:cs="Calibri"/>
      <w:kern w:val="0"/>
      <w:sz w:val="22"/>
      <w:szCs w:val="20"/>
      <w:lang w:eastAsia="en-GB"/>
      <w14:ligatures w14:val="none"/>
    </w:rPr>
  </w:style>
  <w:style w:type="character" w:styleId="PageNumber">
    <w:name w:val="page number"/>
    <w:basedOn w:val="DefaultParagraphFont"/>
    <w:uiPriority w:val="99"/>
    <w:semiHidden/>
    <w:unhideWhenUsed/>
    <w:rsid w:val="007C267B"/>
  </w:style>
  <w:style w:type="paragraph" w:styleId="Header">
    <w:name w:val="header"/>
    <w:basedOn w:val="Normal"/>
    <w:link w:val="HeaderChar"/>
    <w:uiPriority w:val="99"/>
    <w:unhideWhenUsed/>
    <w:rsid w:val="007C267B"/>
    <w:pPr>
      <w:tabs>
        <w:tab w:val="center" w:pos="4513"/>
        <w:tab w:val="right" w:pos="9026"/>
      </w:tabs>
      <w:spacing w:before="0" w:after="0"/>
    </w:pPr>
  </w:style>
  <w:style w:type="character" w:customStyle="1" w:styleId="HeaderChar">
    <w:name w:val="Header Char"/>
    <w:basedOn w:val="DefaultParagraphFont"/>
    <w:link w:val="Header"/>
    <w:uiPriority w:val="99"/>
    <w:rsid w:val="007C267B"/>
    <w:rPr>
      <w:rFonts w:eastAsia="Times New Roman" w:cs="Calibri"/>
      <w:kern w:val="0"/>
      <w:sz w:val="22"/>
      <w:szCs w:val="20"/>
      <w:lang w:eastAsia="en-GB"/>
      <w14:ligatures w14:val="none"/>
    </w:rPr>
  </w:style>
  <w:style w:type="paragraph" w:styleId="TOC4">
    <w:name w:val="toc 4"/>
    <w:basedOn w:val="Normal"/>
    <w:next w:val="Normal"/>
    <w:autoRedefine/>
    <w:uiPriority w:val="39"/>
    <w:unhideWhenUsed/>
    <w:rsid w:val="00156D4C"/>
    <w:pPr>
      <w:spacing w:before="0" w:after="0"/>
      <w:ind w:left="660"/>
    </w:pPr>
    <w:rPr>
      <w:sz w:val="20"/>
    </w:rPr>
  </w:style>
  <w:style w:type="paragraph" w:styleId="TOC5">
    <w:name w:val="toc 5"/>
    <w:basedOn w:val="Normal"/>
    <w:next w:val="Normal"/>
    <w:autoRedefine/>
    <w:uiPriority w:val="39"/>
    <w:unhideWhenUsed/>
    <w:rsid w:val="00156D4C"/>
    <w:pPr>
      <w:spacing w:before="0" w:after="0"/>
      <w:ind w:left="880"/>
    </w:pPr>
    <w:rPr>
      <w:sz w:val="20"/>
    </w:rPr>
  </w:style>
  <w:style w:type="paragraph" w:styleId="TOC6">
    <w:name w:val="toc 6"/>
    <w:basedOn w:val="Normal"/>
    <w:next w:val="Normal"/>
    <w:autoRedefine/>
    <w:uiPriority w:val="39"/>
    <w:unhideWhenUsed/>
    <w:rsid w:val="00156D4C"/>
    <w:pPr>
      <w:spacing w:before="0" w:after="0"/>
      <w:ind w:left="1100"/>
    </w:pPr>
    <w:rPr>
      <w:sz w:val="20"/>
    </w:rPr>
  </w:style>
  <w:style w:type="paragraph" w:styleId="TOC7">
    <w:name w:val="toc 7"/>
    <w:basedOn w:val="Normal"/>
    <w:next w:val="Normal"/>
    <w:autoRedefine/>
    <w:uiPriority w:val="39"/>
    <w:unhideWhenUsed/>
    <w:rsid w:val="00156D4C"/>
    <w:pPr>
      <w:spacing w:before="0" w:after="0"/>
      <w:ind w:left="1320"/>
    </w:pPr>
    <w:rPr>
      <w:sz w:val="20"/>
    </w:rPr>
  </w:style>
  <w:style w:type="paragraph" w:styleId="TOC8">
    <w:name w:val="toc 8"/>
    <w:basedOn w:val="Normal"/>
    <w:next w:val="Normal"/>
    <w:autoRedefine/>
    <w:uiPriority w:val="39"/>
    <w:unhideWhenUsed/>
    <w:rsid w:val="00156D4C"/>
    <w:pPr>
      <w:spacing w:before="0" w:after="0"/>
      <w:ind w:left="1540"/>
    </w:pPr>
    <w:rPr>
      <w:sz w:val="20"/>
    </w:rPr>
  </w:style>
  <w:style w:type="paragraph" w:styleId="TOC9">
    <w:name w:val="toc 9"/>
    <w:basedOn w:val="Normal"/>
    <w:next w:val="Normal"/>
    <w:autoRedefine/>
    <w:uiPriority w:val="39"/>
    <w:unhideWhenUsed/>
    <w:rsid w:val="00156D4C"/>
    <w:pPr>
      <w:spacing w:before="0" w:after="0"/>
      <w:ind w:left="1760"/>
    </w:pPr>
    <w:rPr>
      <w:sz w:val="20"/>
    </w:rPr>
  </w:style>
  <w:style w:type="character" w:styleId="FollowedHyperlink">
    <w:name w:val="FollowedHyperlink"/>
    <w:basedOn w:val="DefaultParagraphFont"/>
    <w:uiPriority w:val="99"/>
    <w:semiHidden/>
    <w:unhideWhenUsed/>
    <w:rsid w:val="003F7EA3"/>
    <w:rPr>
      <w:color w:val="96607D" w:themeColor="followedHyperlink"/>
      <w:u w:val="single"/>
    </w:rPr>
  </w:style>
  <w:style w:type="table" w:styleId="PlainTable2">
    <w:name w:val="Plain Table 2"/>
    <w:basedOn w:val="TableNormal"/>
    <w:uiPriority w:val="42"/>
    <w:rsid w:val="001F1ED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ootnoteText">
    <w:name w:val="footnote text"/>
    <w:basedOn w:val="Normal"/>
    <w:link w:val="FootnoteTextChar"/>
    <w:uiPriority w:val="99"/>
    <w:semiHidden/>
    <w:unhideWhenUsed/>
    <w:rsid w:val="00B3337A"/>
    <w:pPr>
      <w:spacing w:before="0" w:after="0" w:line="228" w:lineRule="auto"/>
    </w:pPr>
    <w:rPr>
      <w:rFonts w:eastAsiaTheme="minorHAnsi" w:cstheme="minorBidi"/>
      <w:kern w:val="2"/>
      <w:sz w:val="20"/>
      <w:lang w:eastAsia="en-US"/>
      <w14:ligatures w14:val="standardContextual"/>
    </w:rPr>
  </w:style>
  <w:style w:type="character" w:customStyle="1" w:styleId="FootnoteTextChar">
    <w:name w:val="Footnote Text Char"/>
    <w:basedOn w:val="DefaultParagraphFont"/>
    <w:link w:val="FootnoteText"/>
    <w:uiPriority w:val="99"/>
    <w:semiHidden/>
    <w:rsid w:val="00B3337A"/>
    <w:rPr>
      <w:sz w:val="20"/>
      <w:szCs w:val="20"/>
    </w:rPr>
  </w:style>
  <w:style w:type="character" w:styleId="FootnoteReference">
    <w:name w:val="footnote reference"/>
    <w:basedOn w:val="DefaultParagraphFont"/>
    <w:uiPriority w:val="99"/>
    <w:semiHidden/>
    <w:unhideWhenUsed/>
    <w:rsid w:val="00B3337A"/>
    <w:rPr>
      <w:vertAlign w:val="superscript"/>
    </w:rPr>
  </w:style>
  <w:style w:type="character" w:styleId="Emphasis">
    <w:name w:val="Emphasis"/>
    <w:basedOn w:val="DefaultParagraphFont"/>
    <w:uiPriority w:val="20"/>
    <w:qFormat/>
    <w:rsid w:val="00B3337A"/>
    <w:rPr>
      <w:i/>
      <w:iCs/>
    </w:rPr>
  </w:style>
  <w:style w:type="paragraph" w:styleId="NoSpacing">
    <w:name w:val="No Spacing"/>
    <w:link w:val="NoSpacingChar"/>
    <w:uiPriority w:val="1"/>
    <w:qFormat/>
    <w:rsid w:val="004729F8"/>
    <w:rPr>
      <w:rFonts w:eastAsiaTheme="minorEastAsia"/>
      <w:kern w:val="0"/>
      <w:sz w:val="22"/>
      <w:szCs w:val="22"/>
      <w:lang w:val="en-US" w:eastAsia="zh-CN"/>
      <w14:ligatures w14:val="none"/>
    </w:rPr>
  </w:style>
  <w:style w:type="character" w:customStyle="1" w:styleId="NoSpacingChar">
    <w:name w:val="No Spacing Char"/>
    <w:basedOn w:val="DefaultParagraphFont"/>
    <w:link w:val="NoSpacing"/>
    <w:uiPriority w:val="1"/>
    <w:rsid w:val="004729F8"/>
    <w:rPr>
      <w:rFonts w:eastAsiaTheme="minorEastAsia"/>
      <w:kern w:val="0"/>
      <w:sz w:val="22"/>
      <w:szCs w:val="22"/>
      <w:lang w:val="en-US" w:eastAsia="zh-CN"/>
      <w14:ligatures w14:val="none"/>
    </w:rPr>
  </w:style>
  <w:style w:type="table" w:styleId="TableGrid">
    <w:name w:val="Table Grid"/>
    <w:basedOn w:val="TableNormal"/>
    <w:uiPriority w:val="39"/>
    <w:rsid w:val="00FE60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2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6222">
      <w:bodyDiv w:val="1"/>
      <w:marLeft w:val="0"/>
      <w:marRight w:val="0"/>
      <w:marTop w:val="0"/>
      <w:marBottom w:val="0"/>
      <w:divBdr>
        <w:top w:val="none" w:sz="0" w:space="0" w:color="auto"/>
        <w:left w:val="none" w:sz="0" w:space="0" w:color="auto"/>
        <w:bottom w:val="none" w:sz="0" w:space="0" w:color="auto"/>
        <w:right w:val="none" w:sz="0" w:space="0" w:color="auto"/>
      </w:divBdr>
    </w:div>
    <w:div w:id="158133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ocalhost/OECDStat_Metadata/ShowMetadata.ashx?Dataset=MSTI_PUB&amp;ShowOnWeb=true&amp;Lang=en" TargetMode="External"/><Relationship Id="rId18" Type="http://schemas.openxmlformats.org/officeDocument/2006/relationships/hyperlink" Target="https://www.industry.gov.au/sites/default/files/2018-10/science_and_research_priorities_2015.pdf" TargetMode="External"/><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image" Target="media/image6.emf"/><Relationship Id="rId34" Type="http://schemas.openxmlformats.org/officeDocument/2006/relationships/hyperlink" Target="http://localhost/OECDStat_Metadata/ShowMetadata.ashx?Dataset=MSTI_PUB&amp;ShowOnWeb=true&amp;Lang=en" TargetMode="Externa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image" Target="media/image5.emf"/><Relationship Id="rId25" Type="http://schemas.openxmlformats.org/officeDocument/2006/relationships/image" Target="media/image10.emf"/><Relationship Id="rId33" Type="http://schemas.openxmlformats.org/officeDocument/2006/relationships/image" Target="media/image18.emf"/><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hyperlink" Target="https://www.chiefscientist.gov.au/national-science-and-technology-council" TargetMode="External"/><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orage.googleapis.com/converlens-au-industry/industry/p/prj288de4406cc88bf67fdc9/public_assets/Australias-draft-National-Science-and-Research-Priorities.pdf" TargetMode="External"/><Relationship Id="rId24" Type="http://schemas.openxmlformats.org/officeDocument/2006/relationships/image" Target="media/image9.emf"/><Relationship Id="rId32" Type="http://schemas.openxmlformats.org/officeDocument/2006/relationships/image" Target="media/image17.emf"/><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www.industry.gov.au/science-technology-and-innovation/industry-innovation-and-science-australia" TargetMode="External"/><Relationship Id="rId31" Type="http://schemas.openxmlformats.org/officeDocument/2006/relationships/image" Target="media/image16.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fontTable" Target="fontTable.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universityworldnews.com/post.php?story=20240220125648569" TargetMode="External"/><Relationship Id="rId13" Type="http://schemas.openxmlformats.org/officeDocument/2006/relationships/hyperlink" Target="https://www.bayer.com/en/sustainability/transparency-in-science-collaborations" TargetMode="External"/><Relationship Id="rId3" Type="http://schemas.openxmlformats.org/officeDocument/2006/relationships/hyperlink" Target="https://www.minister.industry.gov.au/ministers/husic/speeches/speech-uts-vice-chancellors-innovation-showcase" TargetMode="External"/><Relationship Id="rId7" Type="http://schemas.openxmlformats.org/officeDocument/2006/relationships/hyperlink" Target="https://taxpolicy.crawford.anu.edu.au/sites/default/files/uploads/taxstudies_crawford_anu_edu_au/2024-01/complete_policy_brief_j_howard_jan_2024.pdf" TargetMode="External"/><Relationship Id="rId12" Type="http://schemas.openxmlformats.org/officeDocument/2006/relationships/hyperlink" Target="https://www.rba.gov.au/education/resources/snapshots/economy-composition-snapshot/" TargetMode="External"/><Relationship Id="rId2" Type="http://schemas.openxmlformats.org/officeDocument/2006/relationships/hyperlink" Target="https://www.education.gov.au/accord-final-report" TargetMode="External"/><Relationship Id="rId1" Type="http://schemas.openxmlformats.org/officeDocument/2006/relationships/hyperlink" Target="https://www.industry.gov.au/publications/science-research-and-innovation-sri-budget-tables" TargetMode="External"/><Relationship Id="rId6" Type="http://schemas.openxmlformats.org/officeDocument/2006/relationships/hyperlink" Target="https://doi.org/10.1093/icc/dtae005" TargetMode="External"/><Relationship Id="rId11" Type="http://schemas.openxmlformats.org/officeDocument/2006/relationships/hyperlink" Target="https://www.deloitte.com/au/en/services/economics/perspectives/value-of-tourism.html" TargetMode="External"/><Relationship Id="rId5" Type="http://schemas.openxmlformats.org/officeDocument/2006/relationships/hyperlink" Target="https://www.education.gov.au/higher-education-statistics/student-data/selected-higher-education-statistics-2022-student-data" TargetMode="External"/><Relationship Id="rId10" Type="http://schemas.openxmlformats.org/officeDocument/2006/relationships/hyperlink" Target="https://www.abs.gov.au/statistics/economy/national-accounts/australian-national-accounts-tourism-satellite-account/latest-release" TargetMode="External"/><Relationship Id="rId4" Type="http://schemas.openxmlformats.org/officeDocument/2006/relationships/hyperlink" Target="https://www.abs.gov.au/statistics/industry/technology-and-innovation/research-and-experimental-development-higher-education-organisations-australia/latest-release" TargetMode="External"/><Relationship Id="rId9" Type="http://schemas.openxmlformats.org/officeDocument/2006/relationships/hyperlink" Target="https://research-and-innovation.ec.europa.eu/funding/funding-opportunities/funding-programmes-and-open-calls/horizon-europe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2024-03-04T00:00:00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C9A3EC-E127-5B49-928F-5E37C212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6987</Words>
  <Characters>39830</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The Science, Research, and Innovation Budget Tables</vt:lpstr>
    </vt:vector>
  </TitlesOfParts>
  <Company>University of Technology Sydney</Company>
  <LinksUpToDate>false</LinksUpToDate>
  <CharactersWithSpaces>46724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Science, Research, and Innovation Budget Tables</dc:title>
  <dc:subject>What do they really show?</dc:subject>
  <dc:creator>John H Howard</dc:creator>
  <cp:keywords/>
  <dc:description/>
  <cp:lastModifiedBy>John H Howard</cp:lastModifiedBy>
  <cp:revision>2</cp:revision>
  <cp:lastPrinted>2024-03-04T00:47:00Z</cp:lastPrinted>
  <dcterms:created xsi:type="dcterms:W3CDTF">2024-03-04T05:59:00Z</dcterms:created>
  <dcterms:modified xsi:type="dcterms:W3CDTF">2024-03-04T05:59:00Z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2024-03-02T09:45:57Z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143b3d24-1dff-495d-8924-c345090154f0</vt:lpwstr>
  </property>
  <property fmtid="{D5CDD505-2E9C-101B-9397-08002B2CF9AE}" pid="8" name="MSIP_Label_51a6c3db-1667-4f49-995a-8b9973972958_ContentBits">
    <vt:lpwstr>0</vt:lpwstr>
  </property>
</Properties>
</file>