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02012" w14:textId="51D5C9EA" w:rsidR="000D7E3D" w:rsidRPr="00DF3964" w:rsidRDefault="00DF3964" w:rsidP="00DF3964">
      <w:pPr>
        <w:pStyle w:val="Title"/>
        <w:spacing w:before="60" w:after="60"/>
        <w:rPr>
          <w:szCs w:val="32"/>
        </w:rPr>
      </w:pPr>
      <w:r w:rsidRPr="00DF3964">
        <w:rPr>
          <w:szCs w:val="32"/>
        </w:rPr>
        <w:t>Towards 3%: Turbocharging Australia's Innovation Effort</w:t>
      </w:r>
    </w:p>
    <w:p w14:paraId="46D1CF30" w14:textId="17E6AE84" w:rsidR="00D052A3" w:rsidRPr="00DF3964" w:rsidRDefault="000D7E3D" w:rsidP="00DF3964">
      <w:pPr>
        <w:pStyle w:val="Title"/>
        <w:spacing w:before="60" w:after="60"/>
        <w:rPr>
          <w:szCs w:val="32"/>
          <w:lang w:eastAsia="en-GB"/>
        </w:rPr>
      </w:pPr>
      <w:r w:rsidRPr="00DF3964">
        <w:rPr>
          <w:szCs w:val="32"/>
          <w:lang w:eastAsia="en-GB"/>
        </w:rPr>
        <w:t xml:space="preserve">Paper 1: </w:t>
      </w:r>
      <w:r w:rsidR="00D052A3" w:rsidRPr="00DF3964">
        <w:rPr>
          <w:szCs w:val="32"/>
          <w:lang w:eastAsia="en-GB"/>
        </w:rPr>
        <w:t xml:space="preserve">The Statistics </w:t>
      </w:r>
      <w:r w:rsidR="00DF3964" w:rsidRPr="00DF3964">
        <w:rPr>
          <w:szCs w:val="32"/>
          <w:lang w:eastAsia="en-GB"/>
        </w:rPr>
        <w:t>D</w:t>
      </w:r>
      <w:r w:rsidR="00D052A3" w:rsidRPr="00DF3964">
        <w:rPr>
          <w:szCs w:val="32"/>
          <w:lang w:eastAsia="en-GB"/>
        </w:rPr>
        <w:t xml:space="preserve">o </w:t>
      </w:r>
      <w:r w:rsidR="00DF3964" w:rsidRPr="00DF3964">
        <w:rPr>
          <w:szCs w:val="32"/>
          <w:lang w:eastAsia="en-GB"/>
        </w:rPr>
        <w:t>N</w:t>
      </w:r>
      <w:r w:rsidR="00D052A3" w:rsidRPr="00DF3964">
        <w:rPr>
          <w:szCs w:val="32"/>
          <w:lang w:eastAsia="en-GB"/>
        </w:rPr>
        <w:t xml:space="preserve">ot </w:t>
      </w:r>
      <w:r w:rsidR="00DF3964" w:rsidRPr="00DF3964">
        <w:rPr>
          <w:szCs w:val="32"/>
          <w:lang w:eastAsia="en-GB"/>
        </w:rPr>
        <w:t>L</w:t>
      </w:r>
      <w:r w:rsidR="00D052A3" w:rsidRPr="00DF3964">
        <w:rPr>
          <w:szCs w:val="32"/>
          <w:lang w:eastAsia="en-GB"/>
        </w:rPr>
        <w:t>ie</w:t>
      </w:r>
    </w:p>
    <w:p w14:paraId="25BC3C2E" w14:textId="77777777" w:rsidR="000E5C10" w:rsidRDefault="000E5C10" w:rsidP="000E5C10">
      <w:pPr>
        <w:spacing w:before="60" w:after="60"/>
        <w:jc w:val="center"/>
        <w:rPr>
          <w:lang w:eastAsia="en-GB"/>
        </w:rPr>
      </w:pPr>
      <w:r>
        <w:rPr>
          <w:lang w:eastAsia="en-GB"/>
        </w:rPr>
        <w:t>Dr John H Howard</w:t>
      </w:r>
    </w:p>
    <w:p w14:paraId="415D85D4" w14:textId="77777777" w:rsidR="000E5C10" w:rsidRDefault="000E5C10" w:rsidP="000E5C10">
      <w:pPr>
        <w:spacing w:before="60" w:after="60"/>
        <w:jc w:val="center"/>
        <w:rPr>
          <w:lang w:eastAsia="en-GB"/>
        </w:rPr>
      </w:pPr>
      <w:r>
        <w:rPr>
          <w:lang w:eastAsia="en-GB"/>
        </w:rPr>
        <w:t>Acton Institute for Policy Research and Innovation</w:t>
      </w:r>
    </w:p>
    <w:p w14:paraId="3BE3FD0B" w14:textId="77777777" w:rsidR="000E5C10" w:rsidRDefault="000E5C10" w:rsidP="000E5C10">
      <w:pPr>
        <w:spacing w:before="60" w:after="60"/>
        <w:jc w:val="center"/>
        <w:rPr>
          <w:lang w:eastAsia="en-GB"/>
        </w:rPr>
      </w:pPr>
      <w:r>
        <w:rPr>
          <w:lang w:eastAsia="en-GB"/>
        </w:rPr>
        <w:t>Visiting Professor, University of Technology Sydney</w:t>
      </w:r>
    </w:p>
    <w:p w14:paraId="1661B15A" w14:textId="77777777" w:rsidR="000E5C10" w:rsidRDefault="000E5C10" w:rsidP="000E5C10">
      <w:pPr>
        <w:spacing w:before="60" w:after="60"/>
        <w:jc w:val="center"/>
        <w:rPr>
          <w:lang w:eastAsia="en-GB"/>
        </w:rPr>
      </w:pPr>
    </w:p>
    <w:p w14:paraId="7A063DF9" w14:textId="7198A1C8" w:rsidR="00D052A3" w:rsidRDefault="00F31B41" w:rsidP="00D052A3">
      <w:pPr>
        <w:rPr>
          <w:lang w:eastAsia="en-GB"/>
        </w:rPr>
      </w:pPr>
      <w:r>
        <w:rPr>
          <w:lang w:eastAsia="en-GB"/>
        </w:rPr>
        <w:t xml:space="preserve"> </w:t>
      </w:r>
      <w:r w:rsidR="00240CDD">
        <w:rPr>
          <w:lang w:eastAsia="en-GB"/>
        </w:rPr>
        <w:t xml:space="preserve">In 1981, Australia spent 0.90% of its GDP on R&amp;D—the lowest among its </w:t>
      </w:r>
      <w:r w:rsidR="00E0011C">
        <w:rPr>
          <w:lang w:eastAsia="en-GB"/>
        </w:rPr>
        <w:t xml:space="preserve">major </w:t>
      </w:r>
      <w:r w:rsidR="00240CDD">
        <w:rPr>
          <w:lang w:eastAsia="en-GB"/>
        </w:rPr>
        <w:t>trading partners (Japan, Korea, the UK, USA, China, and Taiwan). Forty years later, in 2021, the proportion is still the lowest, at 1.68%. Not only that, as shown in Figure 1</w:t>
      </w:r>
      <w:r w:rsidR="002E6A69">
        <w:rPr>
          <w:lang w:eastAsia="en-GB"/>
        </w:rPr>
        <w:t xml:space="preserve">, Australia (red line) is falling further behind in its commitment to R&amp;D. </w:t>
      </w:r>
      <w:r w:rsidR="00B81AD1">
        <w:rPr>
          <w:lang w:eastAsia="en-GB"/>
        </w:rPr>
        <w:t xml:space="preserve">The 3% “benchmark” is </w:t>
      </w:r>
      <w:r w:rsidR="007A5647">
        <w:rPr>
          <w:lang w:eastAsia="en-GB"/>
        </w:rPr>
        <w:t>shown</w:t>
      </w:r>
      <w:r w:rsidR="00B81AD1">
        <w:rPr>
          <w:lang w:eastAsia="en-GB"/>
        </w:rPr>
        <w:t xml:space="preserve"> </w:t>
      </w:r>
      <w:r w:rsidR="002E6A69">
        <w:rPr>
          <w:lang w:eastAsia="en-GB"/>
        </w:rPr>
        <w:t xml:space="preserve">in Figure 1 </w:t>
      </w:r>
      <w:r w:rsidR="00B81AD1">
        <w:rPr>
          <w:lang w:eastAsia="en-GB"/>
        </w:rPr>
        <w:t xml:space="preserve">for information. </w:t>
      </w:r>
    </w:p>
    <w:p w14:paraId="5C847BFB" w14:textId="126D36BF" w:rsidR="00D052A3" w:rsidRDefault="00D052A3" w:rsidP="00B81AD1">
      <w:pPr>
        <w:pStyle w:val="Caption"/>
        <w:keepNext/>
        <w:spacing w:before="0" w:after="0"/>
        <w:contextualSpacing/>
      </w:pPr>
      <w:bookmarkStart w:id="0" w:name="_Ref158477207"/>
      <w:r>
        <w:t xml:space="preserve">Figure </w:t>
      </w:r>
      <w:r>
        <w:fldChar w:fldCharType="begin"/>
      </w:r>
      <w:r>
        <w:instrText xml:space="preserve"> SEQ Figure \* ARABIC </w:instrText>
      </w:r>
      <w:r>
        <w:fldChar w:fldCharType="separate"/>
      </w:r>
      <w:r w:rsidR="0055791C">
        <w:rPr>
          <w:noProof/>
        </w:rPr>
        <w:t>1</w:t>
      </w:r>
      <w:r>
        <w:fldChar w:fldCharType="end"/>
      </w:r>
      <w:bookmarkEnd w:id="0"/>
      <w:r>
        <w:t>: Gross domestic spending on R&amp;D as a proportion of GDP 1981-20</w:t>
      </w:r>
      <w:r w:rsidR="00EF75C3">
        <w:t>21</w:t>
      </w:r>
      <w:r>
        <w:t xml:space="preserve"> (%)</w:t>
      </w:r>
      <w:r w:rsidR="00465FCA">
        <w:t xml:space="preserve">: </w:t>
      </w:r>
      <w:r w:rsidR="00B81AD1">
        <w:t xml:space="preserve">Australia’s </w:t>
      </w:r>
      <w:r w:rsidR="007A5647">
        <w:t xml:space="preserve">and its </w:t>
      </w:r>
      <w:r w:rsidR="00B81AD1">
        <w:t>major trading partners</w:t>
      </w:r>
    </w:p>
    <w:p w14:paraId="61953635" w14:textId="2919E782" w:rsidR="00D052A3" w:rsidRPr="005B08CF" w:rsidRDefault="009D3284" w:rsidP="009D3284">
      <w:pPr>
        <w:spacing w:before="0" w:after="0"/>
        <w:jc w:val="center"/>
      </w:pPr>
      <w:r>
        <w:rPr>
          <w:noProof/>
        </w:rPr>
        <mc:AlternateContent>
          <mc:Choice Requires="wps">
            <w:drawing>
              <wp:anchor distT="0" distB="0" distL="114300" distR="114300" simplePos="0" relativeHeight="251659264" behindDoc="0" locked="0" layoutInCell="1" allowOverlap="1" wp14:anchorId="6B67DA12" wp14:editId="6576F039">
                <wp:simplePos x="0" y="0"/>
                <wp:positionH relativeFrom="column">
                  <wp:posOffset>141605</wp:posOffset>
                </wp:positionH>
                <wp:positionV relativeFrom="paragraph">
                  <wp:posOffset>803487</wp:posOffset>
                </wp:positionV>
                <wp:extent cx="5560695" cy="0"/>
                <wp:effectExtent l="0" t="0" r="14605" b="12700"/>
                <wp:wrapNone/>
                <wp:docPr id="1561480772" name="Straight Connector 1"/>
                <wp:cNvGraphicFramePr/>
                <a:graphic xmlns:a="http://schemas.openxmlformats.org/drawingml/2006/main">
                  <a:graphicData uri="http://schemas.microsoft.com/office/word/2010/wordprocessingShape">
                    <wps:wsp>
                      <wps:cNvCnPr/>
                      <wps:spPr>
                        <a:xfrm>
                          <a:off x="0" y="0"/>
                          <a:ext cx="5560695" cy="0"/>
                        </a:xfrm>
                        <a:prstGeom prst="line">
                          <a:avLst/>
                        </a:prstGeom>
                        <a:ln>
                          <a:prstDash val="sysDash"/>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EF43F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5pt,63.25pt" to="449pt,6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" strokecolor="#196b24 [3206]" strokeweight="1pt">
                <v:stroke dashstyle="3 1" joinstyle="miter"/>
              </v:line>
            </w:pict>
          </mc:Fallback>
        </mc:AlternateContent>
      </w:r>
      <w:r>
        <w:rPr>
          <w:noProof/>
        </w:rPr>
        <w:drawing>
          <wp:inline distT="0" distB="0" distL="0" distR="0" wp14:anchorId="671C18EF" wp14:editId="2C0625DB">
            <wp:extent cx="4752000" cy="2311200"/>
            <wp:effectExtent l="12700" t="12700" r="10795" b="13335"/>
            <wp:docPr id="13095892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589221" name=""/>
                    <pic:cNvPicPr/>
                  </pic:nvPicPr>
                  <pic:blipFill rotWithShape="1">
                    <a:blip r:embed="rId8"/>
                    <a:srcRect t="14722"/>
                    <a:stretch/>
                  </pic:blipFill>
                  <pic:spPr bwMode="auto">
                    <a:xfrm>
                      <a:off x="0" y="0"/>
                      <a:ext cx="4752000" cy="2311200"/>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r>
        <w:rPr>
          <w:noProof/>
        </w:rPr>
        <w:t xml:space="preserve"> </w:t>
      </w:r>
    </w:p>
    <w:p w14:paraId="344D69EB" w14:textId="77777777" w:rsidR="00D052A3" w:rsidRPr="004A17EB" w:rsidRDefault="00D052A3" w:rsidP="009D3284">
      <w:pPr>
        <w:spacing w:before="0" w:after="0"/>
        <w:ind w:firstLine="720"/>
        <w:contextualSpacing/>
        <w:rPr>
          <w:rFonts w:eastAsia="Times New Roman" w:cs="Calibri"/>
          <w:color w:val="212121"/>
          <w:kern w:val="0"/>
          <w:sz w:val="16"/>
          <w:szCs w:val="16"/>
          <w:lang w:eastAsia="en-GB"/>
          <w14:ligatures w14:val="none"/>
        </w:rPr>
      </w:pPr>
      <w:r w:rsidRPr="004A17EB">
        <w:rPr>
          <w:rFonts w:eastAsia="Times New Roman" w:cs="Calibri"/>
          <w:color w:val="212121"/>
          <w:kern w:val="0"/>
          <w:sz w:val="16"/>
          <w:szCs w:val="16"/>
          <w:lang w:eastAsia="en-GB"/>
          <w14:ligatures w14:val="none"/>
        </w:rPr>
        <w:t>So</w:t>
      </w:r>
      <w:r w:rsidRPr="00660AEB">
        <w:rPr>
          <w:rFonts w:eastAsia="Times New Roman" w:cs="Calibri"/>
          <w:color w:val="212121"/>
          <w:kern w:val="0"/>
          <w:sz w:val="16"/>
          <w:szCs w:val="16"/>
          <w:lang w:eastAsia="en-GB"/>
          <w14:ligatures w14:val="none"/>
        </w:rPr>
        <w:t>urce: OECD</w:t>
      </w:r>
      <w:r>
        <w:rPr>
          <w:rFonts w:eastAsia="Times New Roman" w:cs="Calibri"/>
          <w:color w:val="212121"/>
          <w:kern w:val="0"/>
          <w:sz w:val="16"/>
          <w:szCs w:val="16"/>
          <w:lang w:eastAsia="en-GB"/>
          <w14:ligatures w14:val="none"/>
        </w:rPr>
        <w:t xml:space="preserve"> </w:t>
      </w:r>
      <w:hyperlink r:id="rId9" w:tgtFrame="_blank" w:history="1">
        <w:r w:rsidRPr="00660AEB">
          <w:rPr>
            <w:rStyle w:val="Hyperlink"/>
            <w:color w:val="007BC7"/>
            <w:sz w:val="16"/>
            <w:szCs w:val="16"/>
            <w:shd w:val="clear" w:color="auto" w:fill="FFFFFF"/>
          </w:rPr>
          <w:t>Main Science and Technology Indicators (MSTI database)</w:t>
        </w:r>
      </w:hyperlink>
      <w:r>
        <w:rPr>
          <w:sz w:val="16"/>
          <w:szCs w:val="16"/>
        </w:rPr>
        <w:t>, Accessed 9 Feb, 2024</w:t>
      </w:r>
    </w:p>
    <w:p w14:paraId="18E52DF9" w14:textId="5B5410B9" w:rsidR="00D052A3" w:rsidRDefault="002E6A69" w:rsidP="00D052A3">
      <w:pPr>
        <w:rPr>
          <w:lang w:eastAsia="en-GB"/>
        </w:rPr>
      </w:pPr>
      <w:r>
        <w:rPr>
          <w:lang w:eastAsia="en-GB"/>
        </w:rPr>
        <w:t xml:space="preserve">Over the 40-year period, things looked good until 2008, when Australian R&amp;D reached a peak of 2.24% of GDP (close to the OECD average of 2.28%). Then it collapsed. </w:t>
      </w:r>
    </w:p>
    <w:p w14:paraId="38D4FC52" w14:textId="1184538B" w:rsidR="007A5647" w:rsidRDefault="00465FCA" w:rsidP="002E6A69">
      <w:pPr>
        <w:rPr>
          <w:lang w:eastAsia="en-GB"/>
        </w:rPr>
      </w:pPr>
      <w:r>
        <w:rPr>
          <w:lang w:eastAsia="en-GB"/>
        </w:rPr>
        <w:t xml:space="preserve">Since 2008, the Australian economy has </w:t>
      </w:r>
      <w:r w:rsidR="007A5647">
        <w:rPr>
          <w:lang w:eastAsia="en-GB"/>
        </w:rPr>
        <w:t>grown</w:t>
      </w:r>
      <w:r>
        <w:rPr>
          <w:lang w:eastAsia="en-GB"/>
        </w:rPr>
        <w:t xml:space="preserve"> by exporting mineral and energy resources</w:t>
      </w:r>
      <w:r w:rsidR="007A5647">
        <w:rPr>
          <w:lang w:eastAsia="en-GB"/>
        </w:rPr>
        <w:t>, which</w:t>
      </w:r>
      <w:r w:rsidR="002E6A69">
        <w:rPr>
          <w:lang w:eastAsia="en-GB"/>
        </w:rPr>
        <w:t xml:space="preserve"> </w:t>
      </w:r>
      <w:r w:rsidR="007A5647">
        <w:rPr>
          <w:lang w:eastAsia="en-GB"/>
        </w:rPr>
        <w:t>have paid for imports of manufactured products</w:t>
      </w:r>
      <w:r w:rsidR="002E6A69">
        <w:rPr>
          <w:lang w:eastAsia="en-GB"/>
        </w:rPr>
        <w:t xml:space="preserve">. These products are consumed by a growing population stimulated by high levels of immigration.  </w:t>
      </w:r>
      <w:r w:rsidR="00AE035A">
        <w:rPr>
          <w:lang w:eastAsia="en-GB"/>
        </w:rPr>
        <w:t xml:space="preserve">Many of these resource companies </w:t>
      </w:r>
      <w:r w:rsidR="005855EC">
        <w:rPr>
          <w:lang w:eastAsia="en-GB"/>
        </w:rPr>
        <w:t xml:space="preserve">made substantial investments in </w:t>
      </w:r>
      <w:r w:rsidR="00AE035A">
        <w:rPr>
          <w:lang w:eastAsia="en-GB"/>
        </w:rPr>
        <w:t xml:space="preserve">R&amp;D in Australia. </w:t>
      </w:r>
    </w:p>
    <w:p w14:paraId="48313FD4" w14:textId="60BBA2B3" w:rsidR="00465FCA" w:rsidRDefault="00735E63" w:rsidP="002E6A69">
      <w:pPr>
        <w:rPr>
          <w:lang w:eastAsia="en-GB"/>
        </w:rPr>
      </w:pPr>
      <w:r>
        <w:rPr>
          <w:lang w:eastAsia="en-GB"/>
        </w:rPr>
        <w:t xml:space="preserve">R&amp;D </w:t>
      </w:r>
      <w:r w:rsidR="005855EC">
        <w:rPr>
          <w:lang w:eastAsia="en-GB"/>
        </w:rPr>
        <w:t xml:space="preserve">undertaken by </w:t>
      </w:r>
      <w:r w:rsidR="002E6A69">
        <w:rPr>
          <w:lang w:eastAsia="en-GB"/>
        </w:rPr>
        <w:t>the resources sector is now being undertaken globally through the innovation sourcing strategies of global corporations like Woodside, Shell, and Rio Tinto (a UK corporation). These companies have also shifted their</w:t>
      </w:r>
      <w:r w:rsidR="007A5647">
        <w:rPr>
          <w:lang w:eastAsia="en-GB"/>
        </w:rPr>
        <w:t xml:space="preserve"> focus to sustainable energy technologies; very little of this is done in Australia. </w:t>
      </w:r>
    </w:p>
    <w:p w14:paraId="58B5A6D4" w14:textId="68CC70D0" w:rsidR="00975BDA" w:rsidRDefault="00465FCA" w:rsidP="00145E87">
      <w:pPr>
        <w:pStyle w:val="Heading1"/>
        <w:rPr>
          <w:lang w:eastAsia="en-GB"/>
        </w:rPr>
      </w:pPr>
      <w:bookmarkStart w:id="1" w:name="_Toc163230108"/>
      <w:bookmarkStart w:id="2" w:name="_Toc163534694"/>
      <w:r>
        <w:rPr>
          <w:lang w:eastAsia="en-GB"/>
        </w:rPr>
        <w:t>The sectoral distribution of R&amp;D expenditure</w:t>
      </w:r>
      <w:bookmarkEnd w:id="1"/>
      <w:bookmarkEnd w:id="2"/>
    </w:p>
    <w:p w14:paraId="476F879B" w14:textId="5E62345E" w:rsidR="00B92262" w:rsidRDefault="00B92262" w:rsidP="00145E87">
      <w:pPr>
        <w:rPr>
          <w:lang w:eastAsia="en-GB"/>
        </w:rPr>
      </w:pPr>
      <w:r>
        <w:rPr>
          <w:lang w:eastAsia="en-GB"/>
        </w:rPr>
        <w:t xml:space="preserve">In Australia, as in most other countries, the </w:t>
      </w:r>
      <w:r w:rsidR="00145E87">
        <w:rPr>
          <w:lang w:eastAsia="en-GB"/>
        </w:rPr>
        <w:t>business sector undertakes the largest proportion of R&amp;D</w:t>
      </w:r>
      <w:r w:rsidR="00AE035A">
        <w:rPr>
          <w:lang w:eastAsia="en-GB"/>
        </w:rPr>
        <w:t xml:space="preserve"> </w:t>
      </w:r>
      <w:r w:rsidR="005855EC">
        <w:rPr>
          <w:lang w:eastAsia="en-GB"/>
        </w:rPr>
        <w:t xml:space="preserve">in </w:t>
      </w:r>
      <w:r w:rsidR="00AE035A">
        <w:rPr>
          <w:lang w:eastAsia="en-GB"/>
        </w:rPr>
        <w:t>GDP,</w:t>
      </w:r>
      <w:r w:rsidR="00145E87">
        <w:rPr>
          <w:lang w:eastAsia="en-GB"/>
        </w:rPr>
        <w:t xml:space="preserve"> </w:t>
      </w:r>
      <w:r w:rsidR="00BD11DC">
        <w:rPr>
          <w:lang w:eastAsia="en-GB"/>
        </w:rPr>
        <w:t xml:space="preserve">but as shown in Figure 2, that proportion peaked in 2008—at 1.37%—and has since declined to 0.92% (recorded in 2019). </w:t>
      </w:r>
    </w:p>
    <w:p w14:paraId="603ECD21" w14:textId="21B43696" w:rsidR="00702941" w:rsidRDefault="00BD11DC" w:rsidP="00702941">
      <w:pPr>
        <w:rPr>
          <w:lang w:eastAsia="en-GB"/>
        </w:rPr>
      </w:pPr>
      <w:r>
        <w:rPr>
          <w:lang w:eastAsia="en-GB"/>
        </w:rPr>
        <w:t xml:space="preserve">This collapse </w:t>
      </w:r>
      <w:r w:rsidR="00B92262">
        <w:rPr>
          <w:lang w:eastAsia="en-GB"/>
        </w:rPr>
        <w:t>in business R&amp;D</w:t>
      </w:r>
      <w:r w:rsidR="00702941">
        <w:rPr>
          <w:lang w:eastAsia="en-GB"/>
        </w:rPr>
        <w:t xml:space="preserve">, together with a trend decline in </w:t>
      </w:r>
      <w:r w:rsidR="00582809">
        <w:rPr>
          <w:lang w:eastAsia="en-GB"/>
        </w:rPr>
        <w:t>g</w:t>
      </w:r>
      <w:r w:rsidR="00702941">
        <w:rPr>
          <w:lang w:eastAsia="en-GB"/>
        </w:rPr>
        <w:t xml:space="preserve">overnment </w:t>
      </w:r>
      <w:r w:rsidR="00582809">
        <w:rPr>
          <w:lang w:eastAsia="en-GB"/>
        </w:rPr>
        <w:t>e</w:t>
      </w:r>
      <w:r w:rsidR="00702941">
        <w:rPr>
          <w:lang w:eastAsia="en-GB"/>
        </w:rPr>
        <w:t xml:space="preserve">xpenditure on R&amp;D since 1995, </w:t>
      </w:r>
      <w:r>
        <w:rPr>
          <w:lang w:eastAsia="en-GB"/>
        </w:rPr>
        <w:t xml:space="preserve">has been the major source of Australia’s R&amp;D problem. </w:t>
      </w:r>
      <w:r w:rsidR="00702941">
        <w:rPr>
          <w:lang w:eastAsia="en-GB"/>
        </w:rPr>
        <w:t xml:space="preserve">If it hadn’t been for the growth in </w:t>
      </w:r>
      <w:r w:rsidR="00582809">
        <w:rPr>
          <w:lang w:eastAsia="en-GB"/>
        </w:rPr>
        <w:t>h</w:t>
      </w:r>
      <w:r w:rsidR="00702941">
        <w:rPr>
          <w:lang w:eastAsia="en-GB"/>
        </w:rPr>
        <w:t xml:space="preserve">igher </w:t>
      </w:r>
      <w:r w:rsidR="00582809">
        <w:rPr>
          <w:lang w:eastAsia="en-GB"/>
        </w:rPr>
        <w:t>e</w:t>
      </w:r>
      <w:r w:rsidR="00702941">
        <w:rPr>
          <w:lang w:eastAsia="en-GB"/>
        </w:rPr>
        <w:t xml:space="preserve">ducation </w:t>
      </w:r>
      <w:r w:rsidR="00582809">
        <w:rPr>
          <w:lang w:eastAsia="en-GB"/>
        </w:rPr>
        <w:t>e</w:t>
      </w:r>
      <w:r w:rsidR="00702941">
        <w:rPr>
          <w:lang w:eastAsia="en-GB"/>
        </w:rPr>
        <w:t xml:space="preserve">xpenditure R&amp;D, which has trended upward since 2000, Australia’s overall R&amp;D performance would have been much worse. </w:t>
      </w:r>
    </w:p>
    <w:p w14:paraId="5796AE6D" w14:textId="2FD591B9" w:rsidR="00B92262" w:rsidRDefault="00B92262" w:rsidP="005855EC">
      <w:pPr>
        <w:pStyle w:val="Caption"/>
        <w:spacing w:before="0" w:after="0"/>
        <w:contextualSpacing/>
      </w:pPr>
      <w:bookmarkStart w:id="3" w:name="_Ref161998840"/>
      <w:r>
        <w:t xml:space="preserve">Figure </w:t>
      </w:r>
      <w:r>
        <w:fldChar w:fldCharType="begin"/>
      </w:r>
      <w:r>
        <w:instrText xml:space="preserve"> SEQ Figure \* ARABIC </w:instrText>
      </w:r>
      <w:r>
        <w:fldChar w:fldCharType="separate"/>
      </w:r>
      <w:r w:rsidR="0055791C">
        <w:rPr>
          <w:noProof/>
        </w:rPr>
        <w:t>2</w:t>
      </w:r>
      <w:r>
        <w:fldChar w:fldCharType="end"/>
      </w:r>
      <w:bookmarkEnd w:id="3"/>
      <w:r>
        <w:t xml:space="preserve">: Gross domestic spending on R&amp;D as a proportion of GDP: </w:t>
      </w:r>
    </w:p>
    <w:p w14:paraId="4AAE631D" w14:textId="77777777" w:rsidR="00B92262" w:rsidRDefault="00B92262" w:rsidP="005855EC">
      <w:pPr>
        <w:pStyle w:val="Caption"/>
        <w:spacing w:before="0" w:after="0"/>
        <w:contextualSpacing/>
      </w:pPr>
      <w:r>
        <w:t>Australia, by sector, 1981-2021 (%)</w:t>
      </w:r>
    </w:p>
    <w:p w14:paraId="1F1D2F5F" w14:textId="77777777" w:rsidR="00B92262" w:rsidRDefault="00B92262" w:rsidP="005855EC">
      <w:pPr>
        <w:spacing w:before="0" w:after="0"/>
        <w:contextualSpacing/>
        <w:jc w:val="center"/>
        <w:rPr>
          <w:lang w:eastAsia="en-GB"/>
        </w:rPr>
      </w:pPr>
      <w:r>
        <w:rPr>
          <w:noProof/>
        </w:rPr>
        <w:drawing>
          <wp:inline distT="0" distB="0" distL="0" distR="0" wp14:anchorId="7FE70080" wp14:editId="5C0B1AB2">
            <wp:extent cx="4752000" cy="1983600"/>
            <wp:effectExtent l="12700" t="12700" r="10795" b="10795"/>
            <wp:docPr id="1276149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149981" name=""/>
                    <pic:cNvPicPr/>
                  </pic:nvPicPr>
                  <pic:blipFill rotWithShape="1">
                    <a:blip r:embed="rId10"/>
                    <a:srcRect l="2025" t="7524"/>
                    <a:stretch/>
                  </pic:blipFill>
                  <pic:spPr bwMode="auto">
                    <a:xfrm>
                      <a:off x="0" y="0"/>
                      <a:ext cx="4752000" cy="1983600"/>
                    </a:xfrm>
                    <a:prstGeom prst="rect">
                      <a:avLst/>
                    </a:prstGeom>
                    <a:ln w="9525" cap="flat" cmpd="sng" algn="ctr">
                      <a:solidFill>
                        <a:srgbClr val="156082"/>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3DAF0F34" w14:textId="77777777" w:rsidR="00B92262" w:rsidRPr="004A17EB" w:rsidRDefault="00B92262" w:rsidP="005855EC">
      <w:pPr>
        <w:spacing w:before="0" w:after="0"/>
        <w:ind w:firstLine="720"/>
        <w:contextualSpacing/>
        <w:rPr>
          <w:rFonts w:eastAsia="Times New Roman" w:cs="Calibri"/>
          <w:color w:val="212121"/>
          <w:kern w:val="0"/>
          <w:sz w:val="16"/>
          <w:szCs w:val="16"/>
          <w:lang w:eastAsia="en-GB"/>
          <w14:ligatures w14:val="none"/>
        </w:rPr>
      </w:pPr>
      <w:r w:rsidRPr="004A17EB">
        <w:rPr>
          <w:rFonts w:eastAsia="Times New Roman" w:cs="Calibri"/>
          <w:color w:val="212121"/>
          <w:kern w:val="0"/>
          <w:sz w:val="16"/>
          <w:szCs w:val="16"/>
          <w:lang w:eastAsia="en-GB"/>
          <w14:ligatures w14:val="none"/>
        </w:rPr>
        <w:t>So</w:t>
      </w:r>
      <w:r w:rsidRPr="00660AEB">
        <w:rPr>
          <w:rFonts w:eastAsia="Times New Roman" w:cs="Calibri"/>
          <w:color w:val="212121"/>
          <w:kern w:val="0"/>
          <w:sz w:val="16"/>
          <w:szCs w:val="16"/>
          <w:lang w:eastAsia="en-GB"/>
          <w14:ligatures w14:val="none"/>
        </w:rPr>
        <w:t>urce: OECD</w:t>
      </w:r>
      <w:r>
        <w:rPr>
          <w:rFonts w:eastAsia="Times New Roman" w:cs="Calibri"/>
          <w:color w:val="212121"/>
          <w:kern w:val="0"/>
          <w:sz w:val="16"/>
          <w:szCs w:val="16"/>
          <w:lang w:eastAsia="en-GB"/>
          <w14:ligatures w14:val="none"/>
        </w:rPr>
        <w:t xml:space="preserve"> </w:t>
      </w:r>
      <w:hyperlink r:id="rId11" w:tgtFrame="_blank" w:history="1">
        <w:r w:rsidRPr="00660AEB">
          <w:rPr>
            <w:rStyle w:val="Hyperlink"/>
            <w:color w:val="007BC7"/>
            <w:sz w:val="16"/>
            <w:szCs w:val="16"/>
            <w:shd w:val="clear" w:color="auto" w:fill="FFFFFF"/>
          </w:rPr>
          <w:t>Main Science and Technology Indicators (MSTI database)</w:t>
        </w:r>
      </w:hyperlink>
      <w:r>
        <w:rPr>
          <w:sz w:val="16"/>
          <w:szCs w:val="16"/>
        </w:rPr>
        <w:t>, Accessed 21 March 2024</w:t>
      </w:r>
    </w:p>
    <w:p w14:paraId="49472734" w14:textId="279E26C0" w:rsidR="00702941" w:rsidRDefault="00702941" w:rsidP="00702941">
      <w:pPr>
        <w:rPr>
          <w:lang w:eastAsia="en-GB"/>
        </w:rPr>
      </w:pPr>
      <w:r>
        <w:rPr>
          <w:lang w:eastAsia="en-GB"/>
        </w:rPr>
        <w:t>The collapse in business R&amp;D has occurred entirely in large companies</w:t>
      </w:r>
      <w:r>
        <w:rPr>
          <w:rStyle w:val="FootnoteReference"/>
          <w:lang w:eastAsia="en-GB"/>
        </w:rPr>
        <w:footnoteReference w:id="1"/>
      </w:r>
      <w:r>
        <w:rPr>
          <w:lang w:eastAsia="en-GB"/>
        </w:rPr>
        <w:t>. Globally, within this large company cohort, b</w:t>
      </w:r>
      <w:r w:rsidRPr="00AE035A">
        <w:rPr>
          <w:lang w:eastAsia="en-GB"/>
        </w:rPr>
        <w:t xml:space="preserve">usiness research </w:t>
      </w:r>
      <w:r>
        <w:rPr>
          <w:lang w:eastAsia="en-GB"/>
        </w:rPr>
        <w:t xml:space="preserve">and development </w:t>
      </w:r>
      <w:r w:rsidRPr="00AE035A">
        <w:rPr>
          <w:lang w:eastAsia="en-GB"/>
        </w:rPr>
        <w:t xml:space="preserve">investment is </w:t>
      </w:r>
      <w:r w:rsidR="005855EC">
        <w:rPr>
          <w:lang w:eastAsia="en-GB"/>
        </w:rPr>
        <w:t xml:space="preserve">heavily </w:t>
      </w:r>
      <w:r>
        <w:rPr>
          <w:lang w:eastAsia="en-GB"/>
        </w:rPr>
        <w:t xml:space="preserve">concentrated in the </w:t>
      </w:r>
      <w:r w:rsidRPr="00AE035A">
        <w:rPr>
          <w:lang w:eastAsia="en-GB"/>
        </w:rPr>
        <w:t>motor vehicle,</w:t>
      </w:r>
      <w:r>
        <w:rPr>
          <w:lang w:eastAsia="en-GB"/>
        </w:rPr>
        <w:t xml:space="preserve"> </w:t>
      </w:r>
      <w:r w:rsidRPr="00AE035A">
        <w:rPr>
          <w:lang w:eastAsia="en-GB"/>
        </w:rPr>
        <w:t>pharmaceuticals, and technology</w:t>
      </w:r>
      <w:r>
        <w:rPr>
          <w:lang w:eastAsia="en-GB"/>
        </w:rPr>
        <w:t xml:space="preserve"> industries</w:t>
      </w:r>
      <w:r w:rsidRPr="00AE035A">
        <w:rPr>
          <w:lang w:eastAsia="en-GB"/>
        </w:rPr>
        <w:t xml:space="preserve">. </w:t>
      </w:r>
      <w:r>
        <w:rPr>
          <w:lang w:eastAsia="en-GB"/>
        </w:rPr>
        <w:t xml:space="preserve">Australia </w:t>
      </w:r>
      <w:r w:rsidR="005855EC">
        <w:rPr>
          <w:lang w:eastAsia="en-GB"/>
        </w:rPr>
        <w:t xml:space="preserve">no longer has any </w:t>
      </w:r>
      <w:r>
        <w:rPr>
          <w:lang w:eastAsia="en-GB"/>
        </w:rPr>
        <w:t xml:space="preserve">global </w:t>
      </w:r>
      <w:r w:rsidR="005D03C4">
        <w:rPr>
          <w:lang w:eastAsia="en-GB"/>
        </w:rPr>
        <w:t>motor vehicle compan</w:t>
      </w:r>
      <w:r w:rsidR="005855EC">
        <w:rPr>
          <w:lang w:eastAsia="en-GB"/>
        </w:rPr>
        <w:t>ies</w:t>
      </w:r>
      <w:r w:rsidR="005D03C4">
        <w:rPr>
          <w:lang w:eastAsia="en-GB"/>
        </w:rPr>
        <w:t xml:space="preserve"> doing R&amp;D in Australia, and only one </w:t>
      </w:r>
      <w:r w:rsidR="005855EC">
        <w:rPr>
          <w:lang w:eastAsia="en-GB"/>
        </w:rPr>
        <w:t xml:space="preserve">global </w:t>
      </w:r>
      <w:r w:rsidR="005D03C4">
        <w:rPr>
          <w:lang w:eastAsia="en-GB"/>
        </w:rPr>
        <w:t>pharmaceutical company (CSL)</w:t>
      </w:r>
      <w:r w:rsidR="005855EC">
        <w:rPr>
          <w:lang w:eastAsia="en-GB"/>
        </w:rPr>
        <w:t xml:space="preserve">. </w:t>
      </w:r>
    </w:p>
    <w:p w14:paraId="512DA1BC" w14:textId="43D671B6" w:rsidR="005D03C4" w:rsidRDefault="00AE035A" w:rsidP="00AE035A">
      <w:pPr>
        <w:rPr>
          <w:lang w:eastAsia="en-GB"/>
        </w:rPr>
      </w:pPr>
      <w:r>
        <w:rPr>
          <w:lang w:eastAsia="en-GB"/>
        </w:rPr>
        <w:t xml:space="preserve">Technology companies with substantial </w:t>
      </w:r>
      <w:r w:rsidR="005855EC">
        <w:rPr>
          <w:lang w:eastAsia="en-GB"/>
        </w:rPr>
        <w:t xml:space="preserve">product </w:t>
      </w:r>
      <w:r>
        <w:rPr>
          <w:lang w:eastAsia="en-GB"/>
        </w:rPr>
        <w:t>sales in Australia do little</w:t>
      </w:r>
      <w:r w:rsidR="00B92262">
        <w:rPr>
          <w:lang w:eastAsia="en-GB"/>
        </w:rPr>
        <w:t>, if any,</w:t>
      </w:r>
      <w:r>
        <w:rPr>
          <w:lang w:eastAsia="en-GB"/>
        </w:rPr>
        <w:t xml:space="preserve"> R&amp;D in Australia</w:t>
      </w:r>
      <w:r w:rsidR="00B92262">
        <w:rPr>
          <w:lang w:eastAsia="en-GB"/>
        </w:rPr>
        <w:t xml:space="preserve">. In 2018, </w:t>
      </w:r>
      <w:r>
        <w:rPr>
          <w:lang w:eastAsia="en-GB"/>
        </w:rPr>
        <w:t xml:space="preserve">Microsoft </w:t>
      </w:r>
      <w:r w:rsidR="00B92262">
        <w:rPr>
          <w:lang w:eastAsia="en-GB"/>
        </w:rPr>
        <w:t xml:space="preserve">had a global </w:t>
      </w:r>
      <w:r>
        <w:rPr>
          <w:lang w:eastAsia="en-GB"/>
        </w:rPr>
        <w:t xml:space="preserve">2018 R&amp;D spend of $US14.75 billion), Intel ($US 13.10 billion), Apple ($11.58 billion), Oracle ($US6.09 billion), Cisco ($US6.06 billion), and IBM ($5.79 billion). </w:t>
      </w:r>
    </w:p>
    <w:p w14:paraId="60DB8BCA" w14:textId="540F6CAF" w:rsidR="00B92262" w:rsidRDefault="00B92262" w:rsidP="00AE035A">
      <w:pPr>
        <w:rPr>
          <w:lang w:eastAsia="en-GB"/>
        </w:rPr>
      </w:pPr>
      <w:r>
        <w:rPr>
          <w:lang w:eastAsia="en-GB"/>
        </w:rPr>
        <w:t>These</w:t>
      </w:r>
      <w:r w:rsidR="00AE035A">
        <w:rPr>
          <w:lang w:eastAsia="en-GB"/>
        </w:rPr>
        <w:t xml:space="preserve"> </w:t>
      </w:r>
      <w:r w:rsidR="005D03C4">
        <w:rPr>
          <w:lang w:eastAsia="en-GB"/>
        </w:rPr>
        <w:t>and other large co</w:t>
      </w:r>
      <w:r w:rsidR="005855EC">
        <w:rPr>
          <w:lang w:eastAsia="en-GB"/>
        </w:rPr>
        <w:t xml:space="preserve">rporations </w:t>
      </w:r>
      <w:r w:rsidR="00AE035A">
        <w:rPr>
          <w:lang w:eastAsia="en-GB"/>
        </w:rPr>
        <w:t>outsource aspects of their R&amp;D</w:t>
      </w:r>
      <w:r w:rsidR="005D03C4">
        <w:rPr>
          <w:lang w:eastAsia="en-GB"/>
        </w:rPr>
        <w:t xml:space="preserve">, and countries compete intensely for a slice of this investment. However, unlike other countries, Australian Commonwealth and State foreign direct investment strategies do not target R&amp;D investment. The focus tends to be on “creating jobs”—any jobs. States tend to </w:t>
      </w:r>
      <w:proofErr w:type="gramStart"/>
      <w:r w:rsidR="005D03C4">
        <w:rPr>
          <w:lang w:eastAsia="en-GB"/>
        </w:rPr>
        <w:t>compete with each other</w:t>
      </w:r>
      <w:proofErr w:type="gramEnd"/>
      <w:r w:rsidR="005D03C4">
        <w:rPr>
          <w:lang w:eastAsia="en-GB"/>
        </w:rPr>
        <w:t xml:space="preserve"> rather than take a “one Australia” approach. </w:t>
      </w:r>
    </w:p>
    <w:p w14:paraId="057760C1" w14:textId="2ECC53CD" w:rsidR="00787B88" w:rsidRDefault="005855EC" w:rsidP="00145E87">
      <w:pPr>
        <w:rPr>
          <w:lang w:eastAsia="en-GB"/>
        </w:rPr>
      </w:pPr>
      <w:r>
        <w:rPr>
          <w:lang w:eastAsia="en-GB"/>
        </w:rPr>
        <w:t>Global corporations have choices</w:t>
      </w:r>
      <w:r w:rsidR="00AE035A">
        <w:rPr>
          <w:lang w:eastAsia="en-GB"/>
        </w:rPr>
        <w:t xml:space="preserve">, and </w:t>
      </w:r>
      <w:r w:rsidR="005D03C4">
        <w:rPr>
          <w:lang w:eastAsia="en-GB"/>
        </w:rPr>
        <w:t xml:space="preserve">the availability of collaborative research infrastructure at higher education institutions and public research organisations </w:t>
      </w:r>
      <w:r w:rsidR="00E0011C">
        <w:rPr>
          <w:lang w:eastAsia="en-GB"/>
        </w:rPr>
        <w:t xml:space="preserve">are </w:t>
      </w:r>
      <w:r w:rsidR="005D03C4">
        <w:rPr>
          <w:lang w:eastAsia="en-GB"/>
        </w:rPr>
        <w:t>a major influence on those choices</w:t>
      </w:r>
      <w:r w:rsidR="00AE035A">
        <w:rPr>
          <w:lang w:eastAsia="en-GB"/>
        </w:rPr>
        <w:t>.</w:t>
      </w:r>
      <w:r w:rsidR="005D03C4">
        <w:rPr>
          <w:lang w:eastAsia="en-GB"/>
        </w:rPr>
        <w:t xml:space="preserve"> </w:t>
      </w:r>
    </w:p>
    <w:p w14:paraId="4066821D" w14:textId="73D6E7B9" w:rsidR="00145E87" w:rsidRDefault="00BD11DC" w:rsidP="00145E87">
      <w:pPr>
        <w:rPr>
          <w:lang w:eastAsia="en-GB"/>
        </w:rPr>
      </w:pPr>
      <w:r>
        <w:rPr>
          <w:lang w:eastAsia="en-GB"/>
        </w:rPr>
        <w:t xml:space="preserve">A further paper in this series will </w:t>
      </w:r>
      <w:r w:rsidR="00787B88">
        <w:rPr>
          <w:lang w:eastAsia="en-GB"/>
        </w:rPr>
        <w:t xml:space="preserve">more </w:t>
      </w:r>
      <w:r w:rsidR="00240CDD">
        <w:rPr>
          <w:lang w:eastAsia="en-GB"/>
        </w:rPr>
        <w:t>fully explore the reason for the collapse</w:t>
      </w:r>
      <w:r w:rsidR="005D03C4">
        <w:rPr>
          <w:lang w:eastAsia="en-GB"/>
        </w:rPr>
        <w:t xml:space="preserve"> in business R&amp;D</w:t>
      </w:r>
      <w:r w:rsidR="002621D1">
        <w:rPr>
          <w:lang w:eastAsia="en-GB"/>
        </w:rPr>
        <w:t xml:space="preserve">. </w:t>
      </w:r>
    </w:p>
    <w:p w14:paraId="48B5025D" w14:textId="5AC5C080" w:rsidR="00787B88" w:rsidRDefault="005D03C4" w:rsidP="00793871">
      <w:pPr>
        <w:rPr>
          <w:lang w:eastAsia="en-GB"/>
        </w:rPr>
      </w:pPr>
      <w:r>
        <w:rPr>
          <w:lang w:eastAsia="en-GB"/>
        </w:rPr>
        <w:t xml:space="preserve">Growth in Higher Education Expenditure on R&amp;D </w:t>
      </w:r>
      <w:r w:rsidR="00787B88">
        <w:rPr>
          <w:lang w:eastAsia="en-GB"/>
        </w:rPr>
        <w:t>was sustained by strong policy interest in the sector—until 2013</w:t>
      </w:r>
      <w:r>
        <w:rPr>
          <w:lang w:eastAsia="en-GB"/>
        </w:rPr>
        <w:t xml:space="preserve">. </w:t>
      </w:r>
    </w:p>
    <w:p w14:paraId="6D8FC7BC" w14:textId="78B37563" w:rsidR="00793871" w:rsidRDefault="005D03C4" w:rsidP="00793871">
      <w:pPr>
        <w:rPr>
          <w:lang w:eastAsia="en-GB"/>
        </w:rPr>
      </w:pPr>
      <w:r>
        <w:rPr>
          <w:lang w:eastAsia="en-GB"/>
        </w:rPr>
        <w:t xml:space="preserve">In 2003, the </w:t>
      </w:r>
      <w:proofErr w:type="gramStart"/>
      <w:r w:rsidR="00787B88">
        <w:rPr>
          <w:lang w:eastAsia="en-GB"/>
        </w:rPr>
        <w:t>E</w:t>
      </w:r>
      <w:r>
        <w:rPr>
          <w:lang w:eastAsia="en-GB"/>
        </w:rPr>
        <w:t xml:space="preserve">ducation </w:t>
      </w:r>
      <w:r w:rsidR="00787B88">
        <w:rPr>
          <w:lang w:eastAsia="en-GB"/>
        </w:rPr>
        <w:t>M</w:t>
      </w:r>
      <w:r>
        <w:rPr>
          <w:lang w:eastAsia="en-GB"/>
        </w:rPr>
        <w:t>inister</w:t>
      </w:r>
      <w:proofErr w:type="gramEnd"/>
      <w:r>
        <w:rPr>
          <w:lang w:eastAsia="en-GB"/>
        </w:rPr>
        <w:t xml:space="preserve"> (The Hon. Brendan Nelson) released the White Paper </w:t>
      </w:r>
      <w:r w:rsidRPr="005D03C4">
        <w:rPr>
          <w:i/>
          <w:iCs/>
          <w:lang w:eastAsia="en-GB"/>
        </w:rPr>
        <w:t>Our Universities: Backing Australia's Future</w:t>
      </w:r>
      <w:r>
        <w:rPr>
          <w:lang w:eastAsia="en-GB"/>
        </w:rPr>
        <w:t xml:space="preserve">. Initiatives such as the </w:t>
      </w:r>
      <w:r w:rsidR="000D41F2">
        <w:rPr>
          <w:lang w:eastAsia="en-GB"/>
        </w:rPr>
        <w:t xml:space="preserve">Howard Government’s  </w:t>
      </w:r>
      <w:r w:rsidRPr="000D41F2">
        <w:rPr>
          <w:i/>
          <w:iCs/>
          <w:lang w:eastAsia="en-GB"/>
        </w:rPr>
        <w:t xml:space="preserve">Education </w:t>
      </w:r>
      <w:r w:rsidR="000D41F2">
        <w:rPr>
          <w:i/>
          <w:iCs/>
          <w:lang w:eastAsia="en-GB"/>
        </w:rPr>
        <w:t>Endowment Fund</w:t>
      </w:r>
      <w:r w:rsidR="00AF2D31">
        <w:rPr>
          <w:i/>
          <w:iCs/>
          <w:lang w:eastAsia="en-GB"/>
        </w:rPr>
        <w:t xml:space="preserve"> and</w:t>
      </w:r>
      <w:r w:rsidR="000D41F2">
        <w:rPr>
          <w:i/>
          <w:iCs/>
          <w:lang w:eastAsia="en-GB"/>
        </w:rPr>
        <w:t xml:space="preserve"> </w:t>
      </w:r>
      <w:r w:rsidR="000D41F2" w:rsidRPr="00AF2D31">
        <w:rPr>
          <w:lang w:eastAsia="en-GB"/>
        </w:rPr>
        <w:t xml:space="preserve">Gillard’s </w:t>
      </w:r>
      <w:r w:rsidR="000D41F2">
        <w:rPr>
          <w:i/>
          <w:iCs/>
          <w:lang w:eastAsia="en-GB"/>
        </w:rPr>
        <w:t xml:space="preserve">Higher Education Investment Fund (EIF) </w:t>
      </w:r>
      <w:r w:rsidR="000D41F2" w:rsidRPr="00AF2D31">
        <w:rPr>
          <w:lang w:eastAsia="en-GB"/>
        </w:rPr>
        <w:t xml:space="preserve">sustained the upward </w:t>
      </w:r>
      <w:r w:rsidR="00787B88">
        <w:rPr>
          <w:lang w:eastAsia="en-GB"/>
        </w:rPr>
        <w:t>trajectory</w:t>
      </w:r>
      <w:r w:rsidR="000D41F2" w:rsidRPr="00AF2D31">
        <w:rPr>
          <w:lang w:eastAsia="en-GB"/>
        </w:rPr>
        <w:t xml:space="preserve"> until 2014</w:t>
      </w:r>
      <w:r w:rsidR="000D41F2">
        <w:rPr>
          <w:lang w:eastAsia="en-GB"/>
        </w:rPr>
        <w:t xml:space="preserve"> when it stalled. International student fees have largely financed the recovery from 2016</w:t>
      </w:r>
      <w:r w:rsidR="00787B88">
        <w:rPr>
          <w:lang w:eastAsia="en-GB"/>
        </w:rPr>
        <w:t xml:space="preserve">. </w:t>
      </w:r>
      <w:r w:rsidR="000D41F2">
        <w:rPr>
          <w:lang w:eastAsia="en-GB"/>
        </w:rPr>
        <w:t xml:space="preserve"> </w:t>
      </w:r>
    </w:p>
    <w:p w14:paraId="5F7A74E1" w14:textId="69755D5B" w:rsidR="008118D2" w:rsidRDefault="00793871" w:rsidP="00793871">
      <w:pPr>
        <w:rPr>
          <w:lang w:eastAsia="en-GB"/>
        </w:rPr>
      </w:pPr>
      <w:r>
        <w:rPr>
          <w:lang w:eastAsia="en-GB"/>
        </w:rPr>
        <w:t xml:space="preserve">It is disappointing </w:t>
      </w:r>
      <w:r w:rsidR="00BB6D31">
        <w:rPr>
          <w:lang w:eastAsia="en-GB"/>
        </w:rPr>
        <w:t xml:space="preserve">that the proportion of </w:t>
      </w:r>
      <w:r>
        <w:rPr>
          <w:lang w:eastAsia="en-GB"/>
        </w:rPr>
        <w:t xml:space="preserve">Government expenditure on R&amp;D has </w:t>
      </w:r>
      <w:r w:rsidR="00FB0CC4">
        <w:rPr>
          <w:lang w:eastAsia="en-GB"/>
        </w:rPr>
        <w:t>fallen</w:t>
      </w:r>
      <w:r>
        <w:rPr>
          <w:lang w:eastAsia="en-GB"/>
        </w:rPr>
        <w:t xml:space="preserve"> from </w:t>
      </w:r>
      <w:r w:rsidR="008118D2">
        <w:rPr>
          <w:lang w:eastAsia="en-GB"/>
        </w:rPr>
        <w:t>0.41%</w:t>
      </w:r>
      <w:r w:rsidR="00787B88">
        <w:rPr>
          <w:lang w:eastAsia="en-GB"/>
        </w:rPr>
        <w:t xml:space="preserve"> of GDP </w:t>
      </w:r>
      <w:r w:rsidR="008118D2">
        <w:rPr>
          <w:lang w:eastAsia="en-GB"/>
        </w:rPr>
        <w:t xml:space="preserve">in 1981 to 0.17% in 2020. This reflects the Commonwealth Government's failure to support its own research institutes and laboratories, including CSIRO, ANSTO, and DST, and State Governments </w:t>
      </w:r>
      <w:r w:rsidR="00BB6D31">
        <w:rPr>
          <w:lang w:eastAsia="en-GB"/>
        </w:rPr>
        <w:t xml:space="preserve">failing </w:t>
      </w:r>
      <w:r w:rsidR="008118D2">
        <w:rPr>
          <w:lang w:eastAsia="en-GB"/>
        </w:rPr>
        <w:t xml:space="preserve">to maintain support for their agricultural research institutes and laboratories.  </w:t>
      </w:r>
    </w:p>
    <w:p w14:paraId="4C6A59CE" w14:textId="731E27D3" w:rsidR="00B14BB4" w:rsidRDefault="00BD11DC" w:rsidP="00B14BB4">
      <w:pPr>
        <w:rPr>
          <w:rFonts w:ascii="Calibri" w:eastAsia="Times New Roman" w:hAnsi="Calibri" w:cs="Calibri"/>
          <w:color w:val="212121"/>
          <w:kern w:val="0"/>
          <w:szCs w:val="22"/>
          <w:lang w:eastAsia="en-GB"/>
          <w14:ligatures w14:val="none"/>
        </w:rPr>
      </w:pPr>
      <w:r>
        <w:rPr>
          <w:lang w:eastAsia="en-GB"/>
        </w:rPr>
        <w:t xml:space="preserve">It is not hard to conclude that the Australian sectoral distribution of R&amp;D is unsatisfactory. Australia’s national R&amp;D mix </w:t>
      </w:r>
      <w:r w:rsidR="00240CDD">
        <w:rPr>
          <w:lang w:eastAsia="en-GB"/>
        </w:rPr>
        <w:t>fundamentally differs</w:t>
      </w:r>
      <w:r>
        <w:rPr>
          <w:lang w:eastAsia="en-GB"/>
        </w:rPr>
        <w:t xml:space="preserve"> from </w:t>
      </w:r>
      <w:r>
        <w:rPr>
          <w:rFonts w:ascii="Calibri" w:eastAsia="Times New Roman" w:hAnsi="Calibri" w:cs="Calibri"/>
          <w:color w:val="212121"/>
          <w:kern w:val="0"/>
          <w:szCs w:val="22"/>
          <w:lang w:eastAsia="en-GB"/>
          <w14:ligatures w14:val="none"/>
        </w:rPr>
        <w:t xml:space="preserve">our trading partners, where business R&amp;D is a more significant component of the national R&amp;D profile. </w:t>
      </w:r>
    </w:p>
    <w:p w14:paraId="0EF0C692" w14:textId="47010513" w:rsidR="006A0DFE" w:rsidRDefault="00BD11DC" w:rsidP="00793871">
      <w:pPr>
        <w:rPr>
          <w:lang w:eastAsia="en-GB"/>
        </w:rPr>
      </w:pPr>
      <w:r>
        <w:rPr>
          <w:lang w:eastAsia="en-GB"/>
        </w:rPr>
        <w:t>In 2019, Australian higher education expenditure</w:t>
      </w:r>
      <w:r w:rsidR="00846F08">
        <w:rPr>
          <w:lang w:eastAsia="en-GB"/>
        </w:rPr>
        <w:t xml:space="preserve">s on R&amp;D amounted to 37.1% of national research investment (compared to 24.8% in 2008), with business contributing 53.0% (62.8%) and government 9.9% (12.4%). </w:t>
      </w:r>
      <w:r>
        <w:rPr>
          <w:lang w:eastAsia="en-GB"/>
        </w:rPr>
        <w:t xml:space="preserve">On these metrics, higher education </w:t>
      </w:r>
      <w:r w:rsidR="00240CDD">
        <w:rPr>
          <w:lang w:eastAsia="en-GB"/>
        </w:rPr>
        <w:t>appears to be doing the “heavy lifting” in Australia’s R&amp;D commitment and</w:t>
      </w:r>
      <w:r>
        <w:rPr>
          <w:lang w:eastAsia="en-GB"/>
        </w:rPr>
        <w:t xml:space="preserve">, in many ways, </w:t>
      </w:r>
      <w:r w:rsidR="006A0DFE">
        <w:rPr>
          <w:lang w:eastAsia="en-GB"/>
        </w:rPr>
        <w:t xml:space="preserve">setting the pace for national R&amp;D investment priorities. </w:t>
      </w:r>
    </w:p>
    <w:p w14:paraId="571273F4" w14:textId="4EF33E5C" w:rsidR="00BD11DC" w:rsidRDefault="006A0DFE" w:rsidP="00793871">
      <w:pPr>
        <w:rPr>
          <w:lang w:eastAsia="en-GB"/>
        </w:rPr>
      </w:pPr>
      <w:r>
        <w:rPr>
          <w:lang w:eastAsia="en-GB"/>
        </w:rPr>
        <w:t xml:space="preserve">Higher education priorities are reflected in health and medical research investments, with 30% of publications in life sciences fields—biological, biomedical, clinical, and health sciences. This compares with an output of 19.2% in the Natural Sciences (Chemistry, Physics and Earth Sciences), 19.8% in Engineering and Information and Computing Sciences, and 18.5% in the HASS disciplines. </w:t>
      </w:r>
    </w:p>
    <w:p w14:paraId="31ADA495" w14:textId="5FCDD505" w:rsidR="00793871" w:rsidRDefault="00846F08" w:rsidP="00793871">
      <w:pPr>
        <w:rPr>
          <w:lang w:eastAsia="en-GB"/>
        </w:rPr>
      </w:pPr>
      <w:r>
        <w:rPr>
          <w:lang w:eastAsia="en-GB"/>
        </w:rPr>
        <w:t xml:space="preserve">These investments may or may not reflect a national R&amp;D strategy. Since we do not have one, we would not know. </w:t>
      </w:r>
    </w:p>
    <w:p w14:paraId="42E1B6B2" w14:textId="620D4610" w:rsidR="0005498F" w:rsidRDefault="0005498F" w:rsidP="0005498F">
      <w:pPr>
        <w:pStyle w:val="Heading1"/>
        <w:rPr>
          <w:lang w:eastAsia="en-GB"/>
        </w:rPr>
      </w:pPr>
      <w:bookmarkStart w:id="4" w:name="_Toc163230109"/>
      <w:bookmarkStart w:id="5" w:name="_Toc163534695"/>
      <w:r>
        <w:rPr>
          <w:lang w:eastAsia="en-GB"/>
        </w:rPr>
        <w:t>Business Expenditure on R&amp;D</w:t>
      </w:r>
      <w:bookmarkEnd w:id="4"/>
      <w:bookmarkEnd w:id="5"/>
    </w:p>
    <w:p w14:paraId="599349B1" w14:textId="7971F07E" w:rsidR="0005498F" w:rsidRDefault="0005498F" w:rsidP="0005498F">
      <w:pPr>
        <w:rPr>
          <w:lang w:eastAsia="en-GB"/>
        </w:rPr>
      </w:pPr>
      <w:r>
        <w:rPr>
          <w:lang w:eastAsia="en-GB"/>
        </w:rPr>
        <w:fldChar w:fldCharType="begin"/>
      </w:r>
      <w:r>
        <w:rPr>
          <w:lang w:eastAsia="en-GB"/>
        </w:rPr>
        <w:instrText xml:space="preserve"> REF _Ref158483056 \h </w:instrText>
      </w:r>
      <w:r>
        <w:rPr>
          <w:lang w:eastAsia="en-GB"/>
        </w:rPr>
      </w:r>
      <w:r>
        <w:rPr>
          <w:lang w:eastAsia="en-GB"/>
        </w:rPr>
        <w:fldChar w:fldCharType="separate"/>
      </w:r>
      <w:r w:rsidR="0055791C">
        <w:t xml:space="preserve">Figure </w:t>
      </w:r>
      <w:r w:rsidR="0055791C">
        <w:rPr>
          <w:noProof/>
        </w:rPr>
        <w:t>3</w:t>
      </w:r>
      <w:r>
        <w:rPr>
          <w:lang w:eastAsia="en-GB"/>
        </w:rPr>
        <w:fldChar w:fldCharType="end"/>
      </w:r>
      <w:r>
        <w:rPr>
          <w:lang w:eastAsia="en-GB"/>
        </w:rPr>
        <w:t xml:space="preserve"> shows </w:t>
      </w:r>
      <w:r w:rsidR="00240CDD">
        <w:rPr>
          <w:lang w:eastAsia="en-GB"/>
        </w:rPr>
        <w:t>Business Research and Development expenditures</w:t>
      </w:r>
      <w:r w:rsidR="007F1964">
        <w:rPr>
          <w:lang w:eastAsia="en-GB"/>
        </w:rPr>
        <w:t xml:space="preserve"> for Australia’s major trading partners. In 1981, the Australian proportion was 0.23% of GDP and increased to 1.37% in 2008 (OECD average of 1.57%). But by 2019, it</w:t>
      </w:r>
      <w:r>
        <w:rPr>
          <w:lang w:eastAsia="en-GB"/>
        </w:rPr>
        <w:t xml:space="preserve"> had fallen to 0.92%—half the OECD average of 1.84%. </w:t>
      </w:r>
    </w:p>
    <w:p w14:paraId="6A580CBD" w14:textId="6D28C32C" w:rsidR="007F1964" w:rsidRDefault="0005498F" w:rsidP="009D3284">
      <w:pPr>
        <w:pStyle w:val="Caption"/>
        <w:keepNext/>
        <w:spacing w:before="0" w:after="0"/>
      </w:pPr>
      <w:bookmarkStart w:id="6" w:name="_Ref158483056"/>
      <w:r>
        <w:t xml:space="preserve">Figure </w:t>
      </w:r>
      <w:r>
        <w:fldChar w:fldCharType="begin"/>
      </w:r>
      <w:r>
        <w:instrText xml:space="preserve"> SEQ Figure \* ARABIC </w:instrText>
      </w:r>
      <w:r>
        <w:fldChar w:fldCharType="separate"/>
      </w:r>
      <w:r w:rsidR="0055791C">
        <w:rPr>
          <w:noProof/>
        </w:rPr>
        <w:t>3</w:t>
      </w:r>
      <w:r>
        <w:fldChar w:fldCharType="end"/>
      </w:r>
      <w:bookmarkEnd w:id="6"/>
      <w:r>
        <w:t xml:space="preserve">: </w:t>
      </w:r>
      <w:r w:rsidRPr="007D718E">
        <w:t>Business Enterprise Expenditure on R&amp;D (BERD)</w:t>
      </w:r>
      <w:r>
        <w:t xml:space="preserve"> </w:t>
      </w:r>
    </w:p>
    <w:p w14:paraId="027EE24C" w14:textId="096E5FA6" w:rsidR="0005498F" w:rsidRDefault="0005498F" w:rsidP="009D3284">
      <w:pPr>
        <w:pStyle w:val="Caption"/>
        <w:keepNext/>
        <w:spacing w:before="0" w:after="0"/>
      </w:pPr>
      <w:r>
        <w:t>as a proportion of GDP (%)</w:t>
      </w:r>
      <w:r w:rsidR="007D6877">
        <w:t>—Australia’s major trading partners</w:t>
      </w:r>
    </w:p>
    <w:p w14:paraId="58BC2CAA" w14:textId="6A4788D4" w:rsidR="0005498F" w:rsidRDefault="003869CE" w:rsidP="009D3284">
      <w:pPr>
        <w:spacing w:before="0" w:after="0"/>
        <w:jc w:val="center"/>
        <w:rPr>
          <w:lang w:eastAsia="en-GB"/>
        </w:rPr>
      </w:pPr>
      <w:r>
        <w:rPr>
          <w:noProof/>
        </w:rPr>
        <w:drawing>
          <wp:inline distT="0" distB="0" distL="0" distR="0" wp14:anchorId="5559225A" wp14:editId="02E70AB8">
            <wp:extent cx="4752000" cy="2196000"/>
            <wp:effectExtent l="12700" t="12700" r="10795" b="13970"/>
            <wp:docPr id="9817198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719833" name=""/>
                    <pic:cNvPicPr/>
                  </pic:nvPicPr>
                  <pic:blipFill rotWithShape="1">
                    <a:blip r:embed="rId12"/>
                    <a:srcRect l="2365" t="14747"/>
                    <a:stretch/>
                  </pic:blipFill>
                  <pic:spPr bwMode="auto">
                    <a:xfrm>
                      <a:off x="0" y="0"/>
                      <a:ext cx="4752000" cy="2196000"/>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460A524C" w14:textId="77777777" w:rsidR="0005498F" w:rsidRPr="004A17EB" w:rsidRDefault="0005498F" w:rsidP="009D3284">
      <w:pPr>
        <w:spacing w:before="0" w:after="0"/>
        <w:ind w:firstLine="720"/>
        <w:rPr>
          <w:rFonts w:eastAsia="Times New Roman" w:cs="Calibri"/>
          <w:color w:val="212121"/>
          <w:kern w:val="0"/>
          <w:sz w:val="16"/>
          <w:szCs w:val="16"/>
          <w:lang w:eastAsia="en-GB"/>
          <w14:ligatures w14:val="none"/>
        </w:rPr>
      </w:pPr>
      <w:r w:rsidRPr="004A17EB">
        <w:rPr>
          <w:rFonts w:eastAsia="Times New Roman" w:cs="Calibri"/>
          <w:color w:val="212121"/>
          <w:kern w:val="0"/>
          <w:sz w:val="16"/>
          <w:szCs w:val="16"/>
          <w:lang w:eastAsia="en-GB"/>
          <w14:ligatures w14:val="none"/>
        </w:rPr>
        <w:t>So</w:t>
      </w:r>
      <w:r w:rsidRPr="00660AEB">
        <w:rPr>
          <w:rFonts w:eastAsia="Times New Roman" w:cs="Calibri"/>
          <w:color w:val="212121"/>
          <w:kern w:val="0"/>
          <w:sz w:val="16"/>
          <w:szCs w:val="16"/>
          <w:lang w:eastAsia="en-GB"/>
          <w14:ligatures w14:val="none"/>
        </w:rPr>
        <w:t>urce: OECD</w:t>
      </w:r>
      <w:r>
        <w:rPr>
          <w:rFonts w:eastAsia="Times New Roman" w:cs="Calibri"/>
          <w:color w:val="212121"/>
          <w:kern w:val="0"/>
          <w:sz w:val="16"/>
          <w:szCs w:val="16"/>
          <w:lang w:eastAsia="en-GB"/>
          <w14:ligatures w14:val="none"/>
        </w:rPr>
        <w:t xml:space="preserve"> </w:t>
      </w:r>
      <w:hyperlink r:id="rId13" w:tgtFrame="_blank" w:history="1">
        <w:r w:rsidRPr="00660AEB">
          <w:rPr>
            <w:rStyle w:val="Hyperlink"/>
            <w:color w:val="007BC7"/>
            <w:sz w:val="16"/>
            <w:szCs w:val="16"/>
            <w:shd w:val="clear" w:color="auto" w:fill="FFFFFF"/>
          </w:rPr>
          <w:t>Main Science and Technology Indicators (MSTI database)</w:t>
        </w:r>
      </w:hyperlink>
      <w:r>
        <w:rPr>
          <w:sz w:val="16"/>
          <w:szCs w:val="16"/>
        </w:rPr>
        <w:t>, Accessed 9 Feb, 2024</w:t>
      </w:r>
    </w:p>
    <w:p w14:paraId="1504049B" w14:textId="56D72C65" w:rsidR="0005498F" w:rsidRDefault="0005498F" w:rsidP="0005498F">
      <w:pPr>
        <w:rPr>
          <w:lang w:eastAsia="en-GB"/>
        </w:rPr>
      </w:pPr>
      <w:r>
        <w:rPr>
          <w:lang w:eastAsia="en-GB"/>
        </w:rPr>
        <w:fldChar w:fldCharType="begin"/>
      </w:r>
      <w:r>
        <w:rPr>
          <w:lang w:eastAsia="en-GB"/>
        </w:rPr>
        <w:instrText xml:space="preserve"> REF _Ref158483056 \h </w:instrText>
      </w:r>
      <w:r>
        <w:rPr>
          <w:lang w:eastAsia="en-GB"/>
        </w:rPr>
      </w:r>
      <w:r>
        <w:rPr>
          <w:lang w:eastAsia="en-GB"/>
        </w:rPr>
        <w:fldChar w:fldCharType="separate"/>
      </w:r>
      <w:r w:rsidR="0055791C">
        <w:t xml:space="preserve">Figure </w:t>
      </w:r>
      <w:r w:rsidR="0055791C">
        <w:rPr>
          <w:noProof/>
        </w:rPr>
        <w:t>3</w:t>
      </w:r>
      <w:r>
        <w:rPr>
          <w:lang w:eastAsia="en-GB"/>
        </w:rPr>
        <w:fldChar w:fldCharType="end"/>
      </w:r>
      <w:r>
        <w:rPr>
          <w:lang w:eastAsia="en-GB"/>
        </w:rPr>
        <w:t xml:space="preserve"> also demonstrates that most countries </w:t>
      </w:r>
      <w:r w:rsidR="00240CDD">
        <w:rPr>
          <w:lang w:eastAsia="en-GB"/>
        </w:rPr>
        <w:t>progressively increased</w:t>
      </w:r>
      <w:r>
        <w:rPr>
          <w:lang w:eastAsia="en-GB"/>
        </w:rPr>
        <w:t xml:space="preserve"> their </w:t>
      </w:r>
      <w:r w:rsidR="00787B88">
        <w:rPr>
          <w:lang w:eastAsia="en-GB"/>
        </w:rPr>
        <w:t xml:space="preserve">business R&amp;D </w:t>
      </w:r>
      <w:r>
        <w:rPr>
          <w:lang w:eastAsia="en-GB"/>
        </w:rPr>
        <w:t xml:space="preserve">commitment after the GFC (2008). </w:t>
      </w:r>
    </w:p>
    <w:p w14:paraId="56315D5D" w14:textId="46DEB29E" w:rsidR="0005498F" w:rsidRDefault="00465E8A" w:rsidP="0005498F">
      <w:pPr>
        <w:rPr>
          <w:lang w:eastAsia="en-GB"/>
        </w:rPr>
      </w:pPr>
      <w:r>
        <w:rPr>
          <w:lang w:eastAsia="en-GB"/>
        </w:rPr>
        <w:t>Within the OECD dataset, t</w:t>
      </w:r>
      <w:r w:rsidR="0005498F">
        <w:rPr>
          <w:lang w:eastAsia="en-GB"/>
        </w:rPr>
        <w:t xml:space="preserve">he only other countries to record significant reductions in business expenditure on R&amp;D post-GFC were Canada, Denmark, Finland, and Sweden. Several other EU countries increased their R&amp;D commitment, including France, Ireland, Italy, and the Netherlands, possibly reflecting the impact of the EU Horizon program.  </w:t>
      </w:r>
    </w:p>
    <w:p w14:paraId="4B8CF387" w14:textId="77777777" w:rsidR="0005498F" w:rsidRPr="00B657FE" w:rsidRDefault="0005498F" w:rsidP="0005498F">
      <w:pPr>
        <w:pStyle w:val="Heading1"/>
        <w:rPr>
          <w:rFonts w:eastAsia="Times New Roman"/>
          <w:lang w:eastAsia="en-GB"/>
        </w:rPr>
      </w:pPr>
      <w:bookmarkStart w:id="7" w:name="_Toc163230110"/>
      <w:bookmarkStart w:id="8" w:name="_Toc163534696"/>
      <w:r>
        <w:rPr>
          <w:rFonts w:eastAsia="Times New Roman"/>
          <w:lang w:eastAsia="en-GB"/>
        </w:rPr>
        <w:t>Higher education</w:t>
      </w:r>
      <w:r w:rsidRPr="00B657FE">
        <w:rPr>
          <w:rFonts w:eastAsia="Times New Roman"/>
          <w:lang w:eastAsia="en-GB"/>
        </w:rPr>
        <w:t> </w:t>
      </w:r>
      <w:r>
        <w:rPr>
          <w:rFonts w:eastAsia="Times New Roman"/>
          <w:lang w:eastAsia="en-GB"/>
        </w:rPr>
        <w:t>expenditure on R&amp;D</w:t>
      </w:r>
      <w:bookmarkEnd w:id="7"/>
      <w:bookmarkEnd w:id="8"/>
    </w:p>
    <w:p w14:paraId="79675F1A" w14:textId="3314131D" w:rsidR="0005498F" w:rsidRDefault="00240CDD" w:rsidP="0005498F">
      <w:pPr>
        <w:rPr>
          <w:rFonts w:ascii="Calibri" w:eastAsia="Times New Roman" w:hAnsi="Calibri" w:cs="Calibri"/>
          <w:color w:val="212121"/>
          <w:kern w:val="0"/>
          <w:szCs w:val="22"/>
          <w:lang w:eastAsia="en-GB"/>
          <w14:ligatures w14:val="none"/>
        </w:rPr>
      </w:pPr>
      <w:r>
        <w:rPr>
          <w:rFonts w:ascii="Calibri" w:eastAsia="Times New Roman" w:hAnsi="Calibri" w:cs="Calibri"/>
          <w:color w:val="212121"/>
          <w:kern w:val="0"/>
          <w:szCs w:val="22"/>
          <w:lang w:eastAsia="en-GB"/>
          <w14:ligatures w14:val="none"/>
        </w:rPr>
        <w:t>Higher education research plays a significant role in the national R&amp;D effort in Australia, Korea, and the UK</w:t>
      </w:r>
      <w:r w:rsidR="00F74928">
        <w:rPr>
          <w:rFonts w:ascii="Calibri" w:eastAsia="Times New Roman" w:hAnsi="Calibri" w:cs="Calibri"/>
          <w:color w:val="212121"/>
          <w:kern w:val="0"/>
          <w:szCs w:val="22"/>
          <w:lang w:eastAsia="en-GB"/>
          <w14:ligatures w14:val="none"/>
        </w:rPr>
        <w:t xml:space="preserve">. </w:t>
      </w:r>
      <w:r w:rsidR="00752207">
        <w:rPr>
          <w:rFonts w:ascii="Calibri" w:eastAsia="Times New Roman" w:hAnsi="Calibri" w:cs="Calibri"/>
          <w:color w:val="212121"/>
          <w:kern w:val="0"/>
          <w:szCs w:val="22"/>
          <w:lang w:eastAsia="en-GB"/>
          <w14:ligatures w14:val="none"/>
        </w:rPr>
        <w:fldChar w:fldCharType="begin"/>
      </w:r>
      <w:r w:rsidR="00752207">
        <w:rPr>
          <w:rFonts w:ascii="Calibri" w:eastAsia="Times New Roman" w:hAnsi="Calibri" w:cs="Calibri"/>
          <w:color w:val="212121"/>
          <w:kern w:val="0"/>
          <w:szCs w:val="22"/>
          <w:lang w:eastAsia="en-GB"/>
          <w14:ligatures w14:val="none"/>
        </w:rPr>
        <w:instrText xml:space="preserve"> REF _Ref158389290 \h </w:instrText>
      </w:r>
      <w:r w:rsidR="00752207">
        <w:rPr>
          <w:rFonts w:ascii="Calibri" w:eastAsia="Times New Roman" w:hAnsi="Calibri" w:cs="Calibri"/>
          <w:color w:val="212121"/>
          <w:kern w:val="0"/>
          <w:szCs w:val="22"/>
          <w:lang w:eastAsia="en-GB"/>
          <w14:ligatures w14:val="none"/>
        </w:rPr>
      </w:r>
      <w:r w:rsidR="00752207">
        <w:rPr>
          <w:rFonts w:ascii="Calibri" w:eastAsia="Times New Roman" w:hAnsi="Calibri" w:cs="Calibri"/>
          <w:color w:val="212121"/>
          <w:kern w:val="0"/>
          <w:szCs w:val="22"/>
          <w:lang w:eastAsia="en-GB"/>
          <w14:ligatures w14:val="none"/>
        </w:rPr>
        <w:fldChar w:fldCharType="separate"/>
      </w:r>
      <w:r w:rsidR="0055791C">
        <w:t xml:space="preserve">Figure </w:t>
      </w:r>
      <w:r w:rsidR="0055791C">
        <w:rPr>
          <w:noProof/>
        </w:rPr>
        <w:t>4</w:t>
      </w:r>
      <w:r w:rsidR="00752207">
        <w:rPr>
          <w:rFonts w:ascii="Calibri" w:eastAsia="Times New Roman" w:hAnsi="Calibri" w:cs="Calibri"/>
          <w:color w:val="212121"/>
          <w:kern w:val="0"/>
          <w:szCs w:val="22"/>
          <w:lang w:eastAsia="en-GB"/>
          <w14:ligatures w14:val="none"/>
        </w:rPr>
        <w:fldChar w:fldCharType="end"/>
      </w:r>
      <w:r w:rsidR="00752207">
        <w:rPr>
          <w:rFonts w:ascii="Calibri" w:eastAsia="Times New Roman" w:hAnsi="Calibri" w:cs="Calibri"/>
          <w:color w:val="212121"/>
          <w:kern w:val="0"/>
          <w:szCs w:val="22"/>
          <w:lang w:eastAsia="en-GB"/>
          <w14:ligatures w14:val="none"/>
        </w:rPr>
        <w:t xml:space="preserve"> </w:t>
      </w:r>
      <w:r w:rsidR="00F74928">
        <w:rPr>
          <w:rFonts w:ascii="Calibri" w:eastAsia="Times New Roman" w:hAnsi="Calibri" w:cs="Calibri"/>
          <w:color w:val="212121"/>
          <w:kern w:val="0"/>
          <w:szCs w:val="22"/>
          <w:lang w:eastAsia="en-GB"/>
          <w14:ligatures w14:val="none"/>
        </w:rPr>
        <w:t xml:space="preserve">provides the proportion of higher education expenditure on R&amp;D (HERD) in GDP Australia’s major trading partners. </w:t>
      </w:r>
    </w:p>
    <w:p w14:paraId="0587E818" w14:textId="7BF17A04" w:rsidR="007F1964" w:rsidRDefault="0005498F" w:rsidP="009D3284">
      <w:pPr>
        <w:pStyle w:val="Caption"/>
        <w:keepNext/>
        <w:spacing w:before="0" w:after="0"/>
      </w:pPr>
      <w:bookmarkStart w:id="9" w:name="_Ref158389290"/>
      <w:r>
        <w:t xml:space="preserve">Figure </w:t>
      </w:r>
      <w:r>
        <w:fldChar w:fldCharType="begin"/>
      </w:r>
      <w:r>
        <w:instrText xml:space="preserve"> SEQ Figure \* ARABIC </w:instrText>
      </w:r>
      <w:r>
        <w:fldChar w:fldCharType="separate"/>
      </w:r>
      <w:r w:rsidR="0055791C">
        <w:rPr>
          <w:noProof/>
        </w:rPr>
        <w:t>4</w:t>
      </w:r>
      <w:r>
        <w:fldChar w:fldCharType="end"/>
      </w:r>
      <w:bookmarkEnd w:id="9"/>
      <w:r>
        <w:t>: Higher Education</w:t>
      </w:r>
      <w:r w:rsidRPr="007D718E">
        <w:t xml:space="preserve"> Expenditure on R&amp;D (</w:t>
      </w:r>
      <w:r>
        <w:t>H</w:t>
      </w:r>
      <w:r w:rsidRPr="007D718E">
        <w:t>ERD)</w:t>
      </w:r>
      <w:r>
        <w:t xml:space="preserve"> </w:t>
      </w:r>
    </w:p>
    <w:p w14:paraId="0DB85937" w14:textId="721B6B0F" w:rsidR="0005498F" w:rsidRDefault="0005498F" w:rsidP="009D3284">
      <w:pPr>
        <w:pStyle w:val="Caption"/>
        <w:keepNext/>
        <w:spacing w:before="0" w:after="0"/>
      </w:pPr>
      <w:r>
        <w:t xml:space="preserve">as a proportion of GDP </w:t>
      </w:r>
      <w:r w:rsidR="007F1964">
        <w:t>(</w:t>
      </w:r>
      <w:r w:rsidR="00F74928">
        <w:t>%)</w:t>
      </w:r>
      <w:r w:rsidR="00465E8A">
        <w:t xml:space="preserve">: </w:t>
      </w:r>
      <w:r w:rsidR="00F74928">
        <w:t>Australia’s major trading partners</w:t>
      </w:r>
    </w:p>
    <w:p w14:paraId="744354B1" w14:textId="72764D1E" w:rsidR="0005498F" w:rsidRDefault="003869CE" w:rsidP="009D3284">
      <w:pPr>
        <w:spacing w:before="0" w:after="0"/>
        <w:jc w:val="center"/>
        <w:rPr>
          <w:rFonts w:ascii="Calibri" w:eastAsia="Times New Roman" w:hAnsi="Calibri" w:cs="Calibri"/>
          <w:color w:val="212121"/>
          <w:kern w:val="0"/>
          <w:szCs w:val="22"/>
          <w:lang w:eastAsia="en-GB"/>
          <w14:ligatures w14:val="none"/>
        </w:rPr>
      </w:pPr>
      <w:r>
        <w:rPr>
          <w:noProof/>
        </w:rPr>
        <w:drawing>
          <wp:inline distT="0" distB="0" distL="0" distR="0" wp14:anchorId="3F795F26" wp14:editId="2E5183C2">
            <wp:extent cx="4749800" cy="2093806"/>
            <wp:effectExtent l="12700" t="12700" r="12700" b="14605"/>
            <wp:docPr id="6563573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357374" name=""/>
                    <pic:cNvPicPr/>
                  </pic:nvPicPr>
                  <pic:blipFill rotWithShape="1">
                    <a:blip r:embed="rId14"/>
                    <a:srcRect t="8524"/>
                    <a:stretch/>
                  </pic:blipFill>
                  <pic:spPr bwMode="auto">
                    <a:xfrm>
                      <a:off x="0" y="0"/>
                      <a:ext cx="4806033" cy="2118594"/>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5614EF9A" w14:textId="77777777" w:rsidR="0005498F" w:rsidRPr="004A17EB" w:rsidRDefault="0005498F" w:rsidP="009D3284">
      <w:pPr>
        <w:spacing w:before="0" w:after="0"/>
        <w:ind w:firstLine="720"/>
        <w:rPr>
          <w:rFonts w:eastAsia="Times New Roman" w:cs="Calibri"/>
          <w:color w:val="212121"/>
          <w:kern w:val="0"/>
          <w:sz w:val="16"/>
          <w:szCs w:val="16"/>
          <w:lang w:eastAsia="en-GB"/>
          <w14:ligatures w14:val="none"/>
        </w:rPr>
      </w:pPr>
      <w:r w:rsidRPr="004A17EB">
        <w:rPr>
          <w:rFonts w:eastAsia="Times New Roman" w:cs="Calibri"/>
          <w:color w:val="212121"/>
          <w:kern w:val="0"/>
          <w:sz w:val="16"/>
          <w:szCs w:val="16"/>
          <w:lang w:eastAsia="en-GB"/>
          <w14:ligatures w14:val="none"/>
        </w:rPr>
        <w:t>So</w:t>
      </w:r>
      <w:r w:rsidRPr="00660AEB">
        <w:rPr>
          <w:rFonts w:eastAsia="Times New Roman" w:cs="Calibri"/>
          <w:color w:val="212121"/>
          <w:kern w:val="0"/>
          <w:sz w:val="16"/>
          <w:szCs w:val="16"/>
          <w:lang w:eastAsia="en-GB"/>
          <w14:ligatures w14:val="none"/>
        </w:rPr>
        <w:t>urce: OECD</w:t>
      </w:r>
      <w:r>
        <w:rPr>
          <w:rFonts w:eastAsia="Times New Roman" w:cs="Calibri"/>
          <w:color w:val="212121"/>
          <w:kern w:val="0"/>
          <w:sz w:val="16"/>
          <w:szCs w:val="16"/>
          <w:lang w:eastAsia="en-GB"/>
          <w14:ligatures w14:val="none"/>
        </w:rPr>
        <w:t xml:space="preserve"> </w:t>
      </w:r>
      <w:hyperlink r:id="rId15" w:tgtFrame="_blank" w:history="1">
        <w:r w:rsidRPr="00660AEB">
          <w:rPr>
            <w:rStyle w:val="Hyperlink"/>
            <w:color w:val="007BC7"/>
            <w:sz w:val="16"/>
            <w:szCs w:val="16"/>
            <w:shd w:val="clear" w:color="auto" w:fill="FFFFFF"/>
          </w:rPr>
          <w:t>Main Science and Technology Indicators (MSTI database)</w:t>
        </w:r>
      </w:hyperlink>
      <w:r>
        <w:rPr>
          <w:sz w:val="16"/>
          <w:szCs w:val="16"/>
        </w:rPr>
        <w:t>, Accessed 9 Feb, 2024</w:t>
      </w:r>
    </w:p>
    <w:p w14:paraId="7C38D6F6" w14:textId="3263A467" w:rsidR="0005498F" w:rsidRDefault="0005498F" w:rsidP="0005498F">
      <w:pPr>
        <w:rPr>
          <w:rFonts w:ascii="Calibri" w:eastAsia="Times New Roman" w:hAnsi="Calibri" w:cs="Calibri"/>
          <w:color w:val="212121"/>
          <w:kern w:val="0"/>
          <w:szCs w:val="22"/>
          <w:lang w:eastAsia="en-GB"/>
          <w14:ligatures w14:val="none"/>
        </w:rPr>
      </w:pPr>
      <w:r>
        <w:rPr>
          <w:rFonts w:ascii="Calibri" w:eastAsia="Times New Roman" w:hAnsi="Calibri" w:cs="Calibri"/>
          <w:color w:val="212121"/>
          <w:kern w:val="0"/>
          <w:szCs w:val="22"/>
          <w:lang w:eastAsia="en-GB"/>
          <w14:ligatures w14:val="none"/>
        </w:rPr>
        <w:t xml:space="preserve">The Australian proportion </w:t>
      </w:r>
      <w:r w:rsidR="00B20977">
        <w:rPr>
          <w:rFonts w:ascii="Calibri" w:eastAsia="Times New Roman" w:hAnsi="Calibri" w:cs="Calibri"/>
          <w:color w:val="212121"/>
          <w:kern w:val="0"/>
          <w:szCs w:val="22"/>
          <w:lang w:eastAsia="en-GB"/>
          <w14:ligatures w14:val="none"/>
        </w:rPr>
        <w:t>steadily increased from 0.23% in 1981 to 0.61% in 2019 (</w:t>
      </w:r>
      <w:r w:rsidR="00240CDD">
        <w:rPr>
          <w:rFonts w:ascii="Calibri" w:eastAsia="Times New Roman" w:hAnsi="Calibri" w:cs="Calibri"/>
          <w:color w:val="212121"/>
          <w:kern w:val="0"/>
          <w:szCs w:val="22"/>
          <w:lang w:eastAsia="en-GB"/>
          <w14:ligatures w14:val="none"/>
        </w:rPr>
        <w:t>reaching</w:t>
      </w:r>
      <w:r w:rsidR="00B20977">
        <w:rPr>
          <w:rFonts w:ascii="Calibri" w:eastAsia="Times New Roman" w:hAnsi="Calibri" w:cs="Calibri"/>
          <w:color w:val="212121"/>
          <w:kern w:val="0"/>
          <w:szCs w:val="22"/>
          <w:lang w:eastAsia="en-GB"/>
          <w14:ligatures w14:val="none"/>
        </w:rPr>
        <w:t xml:space="preserve"> 0.64% in 2018). The proportion in the UK reached 0.66 in 2019, </w:t>
      </w:r>
      <w:r w:rsidR="00CF71BC">
        <w:rPr>
          <w:rFonts w:ascii="Calibri" w:eastAsia="Times New Roman" w:hAnsi="Calibri" w:cs="Calibri"/>
          <w:color w:val="212121"/>
          <w:kern w:val="0"/>
          <w:szCs w:val="22"/>
          <w:lang w:eastAsia="en-GB"/>
          <w14:ligatures w14:val="none"/>
        </w:rPr>
        <w:t xml:space="preserve">having shot up rapidly since 2017 due to a change in collection methodology that added R&amp;D that is both funded and performed </w:t>
      </w:r>
      <w:proofErr w:type="gramStart"/>
      <w:r w:rsidR="00CF71BC">
        <w:rPr>
          <w:rFonts w:ascii="Calibri" w:eastAsia="Times New Roman" w:hAnsi="Calibri" w:cs="Calibri"/>
          <w:color w:val="212121"/>
          <w:kern w:val="0"/>
          <w:szCs w:val="22"/>
          <w:lang w:eastAsia="en-GB"/>
          <w14:ligatures w14:val="none"/>
        </w:rPr>
        <w:t>by</w:t>
      </w:r>
      <w:proofErr w:type="gramEnd"/>
      <w:r w:rsidR="00CF71BC">
        <w:rPr>
          <w:rFonts w:ascii="Calibri" w:eastAsia="Times New Roman" w:hAnsi="Calibri" w:cs="Calibri"/>
          <w:color w:val="212121"/>
          <w:kern w:val="0"/>
          <w:szCs w:val="22"/>
          <w:lang w:eastAsia="en-GB"/>
          <w14:ligatures w14:val="none"/>
        </w:rPr>
        <w:t xml:space="preserve"> HE institutions, as in Australia. </w:t>
      </w:r>
    </w:p>
    <w:p w14:paraId="394E9939" w14:textId="16D8B79C" w:rsidR="00B14BB4" w:rsidRDefault="0005498F" w:rsidP="0005498F">
      <w:pPr>
        <w:rPr>
          <w:lang w:eastAsia="en-GB"/>
        </w:rPr>
      </w:pPr>
      <w:r>
        <w:rPr>
          <w:lang w:eastAsia="en-GB"/>
        </w:rPr>
        <w:t xml:space="preserve">ABS data shows </w:t>
      </w:r>
      <w:r w:rsidR="00240CDD">
        <w:rPr>
          <w:lang w:eastAsia="en-GB"/>
        </w:rPr>
        <w:t>that i</w:t>
      </w:r>
      <w:r>
        <w:rPr>
          <w:lang w:eastAsia="en-GB"/>
        </w:rPr>
        <w:t xml:space="preserve">nternational postgraduate students undertake a substantial proportion of higher education R&amp;D. The international student fee bonanza is not reflected in the appointment of permanent academic </w:t>
      </w:r>
      <w:r w:rsidR="00B14BB4">
        <w:rPr>
          <w:lang w:eastAsia="en-GB"/>
        </w:rPr>
        <w:t xml:space="preserve">research </w:t>
      </w:r>
      <w:r>
        <w:rPr>
          <w:lang w:eastAsia="en-GB"/>
        </w:rPr>
        <w:t xml:space="preserve">staff. </w:t>
      </w:r>
      <w:r w:rsidR="00B14BB4">
        <w:rPr>
          <w:lang w:eastAsia="en-GB"/>
        </w:rPr>
        <w:t xml:space="preserve">Causal and short-term project-funded appointments have carried a heavy workload. </w:t>
      </w:r>
    </w:p>
    <w:p w14:paraId="3C606ACD" w14:textId="422DD284" w:rsidR="0005498F" w:rsidRDefault="00B14BB4" w:rsidP="0005498F">
      <w:pPr>
        <w:pStyle w:val="Heading1"/>
        <w:rPr>
          <w:rFonts w:eastAsia="Times New Roman"/>
          <w:lang w:eastAsia="en-GB"/>
        </w:rPr>
      </w:pPr>
      <w:bookmarkStart w:id="10" w:name="_Toc163230111"/>
      <w:bookmarkStart w:id="11" w:name="_Toc163534697"/>
      <w:r>
        <w:rPr>
          <w:rFonts w:eastAsia="Times New Roman"/>
          <w:lang w:eastAsia="en-GB"/>
        </w:rPr>
        <w:t>The G</w:t>
      </w:r>
      <w:r w:rsidR="0005498F">
        <w:rPr>
          <w:rFonts w:eastAsia="Times New Roman"/>
          <w:lang w:eastAsia="en-GB"/>
        </w:rPr>
        <w:t>overnment</w:t>
      </w:r>
      <w:r w:rsidR="007F1964">
        <w:rPr>
          <w:rFonts w:eastAsia="Times New Roman"/>
          <w:lang w:eastAsia="en-GB"/>
        </w:rPr>
        <w:t xml:space="preserve">’s own </w:t>
      </w:r>
      <w:r w:rsidR="0005498F">
        <w:rPr>
          <w:rFonts w:eastAsia="Times New Roman"/>
          <w:lang w:eastAsia="en-GB"/>
        </w:rPr>
        <w:t>expenditure on R&amp;D</w:t>
      </w:r>
      <w:bookmarkEnd w:id="10"/>
      <w:bookmarkEnd w:id="11"/>
      <w:r w:rsidR="0005498F">
        <w:rPr>
          <w:rFonts w:eastAsia="Times New Roman"/>
          <w:lang w:eastAsia="en-GB"/>
        </w:rPr>
        <w:t xml:space="preserve"> </w:t>
      </w:r>
    </w:p>
    <w:p w14:paraId="7DDC8C51" w14:textId="77777777" w:rsidR="00CF71BC" w:rsidRDefault="00787B88" w:rsidP="00787B88">
      <w:pPr>
        <w:rPr>
          <w:rFonts w:ascii="Calibri" w:eastAsia="Times New Roman" w:hAnsi="Calibri" w:cs="Calibri"/>
          <w:color w:val="212121"/>
          <w:kern w:val="0"/>
          <w:szCs w:val="22"/>
          <w:lang w:eastAsia="en-GB"/>
          <w14:ligatures w14:val="none"/>
        </w:rPr>
      </w:pPr>
      <w:r>
        <w:rPr>
          <w:rFonts w:ascii="Calibri" w:eastAsia="Times New Roman" w:hAnsi="Calibri" w:cs="Calibri"/>
          <w:color w:val="212121"/>
          <w:kern w:val="0"/>
          <w:szCs w:val="22"/>
          <w:lang w:eastAsia="en-GB"/>
          <w14:ligatures w14:val="none"/>
        </w:rPr>
        <w:t xml:space="preserve">Government research facilities are essential institutions in a national R&amp;D capability—working with businesses to commercialise and market R&amp;D outcomes created in government organisations established to discover and explore new knowledge and take on a higher level of risk. </w:t>
      </w:r>
    </w:p>
    <w:p w14:paraId="5298EB93" w14:textId="4D2A8F0E" w:rsidR="00787B88" w:rsidRDefault="00752207" w:rsidP="00787B88">
      <w:pPr>
        <w:rPr>
          <w:rFonts w:ascii="Calibri" w:eastAsia="Times New Roman" w:hAnsi="Calibri" w:cs="Calibri"/>
          <w:color w:val="212121"/>
          <w:kern w:val="0"/>
          <w:szCs w:val="22"/>
          <w:lang w:eastAsia="en-GB"/>
          <w14:ligatures w14:val="none"/>
        </w:rPr>
      </w:pPr>
      <w:r>
        <w:rPr>
          <w:rFonts w:ascii="Calibri" w:eastAsia="Times New Roman" w:hAnsi="Calibri" w:cs="Calibri"/>
          <w:color w:val="212121"/>
          <w:kern w:val="0"/>
          <w:szCs w:val="22"/>
          <w:lang w:eastAsia="en-GB"/>
          <w14:ligatures w14:val="none"/>
        </w:rPr>
        <w:t xml:space="preserve">Government research institutions also perform important research contracting roles and participate in global technology markets. </w:t>
      </w:r>
      <w:r w:rsidR="00787B88">
        <w:rPr>
          <w:rFonts w:ascii="Calibri" w:eastAsia="Times New Roman" w:hAnsi="Calibri" w:cs="Calibri"/>
          <w:color w:val="212121"/>
          <w:kern w:val="0"/>
          <w:szCs w:val="22"/>
          <w:lang w:eastAsia="en-GB"/>
          <w14:ligatures w14:val="none"/>
        </w:rPr>
        <w:t xml:space="preserve">Many </w:t>
      </w:r>
      <w:r w:rsidR="00CF71BC">
        <w:rPr>
          <w:rFonts w:ascii="Calibri" w:eastAsia="Times New Roman" w:hAnsi="Calibri" w:cs="Calibri"/>
          <w:color w:val="212121"/>
          <w:kern w:val="0"/>
          <w:szCs w:val="22"/>
          <w:lang w:eastAsia="en-GB"/>
          <w14:ligatures w14:val="none"/>
        </w:rPr>
        <w:t>US technological innovations originated in government research laboratories,</w:t>
      </w:r>
      <w:r w:rsidR="00787B88">
        <w:rPr>
          <w:rFonts w:ascii="Calibri" w:eastAsia="Times New Roman" w:hAnsi="Calibri" w:cs="Calibri"/>
          <w:color w:val="212121"/>
          <w:kern w:val="0"/>
          <w:szCs w:val="22"/>
          <w:lang w:eastAsia="en-GB"/>
          <w14:ligatures w14:val="none"/>
        </w:rPr>
        <w:t xml:space="preserve"> a major characteristic of the Silicon Valley ecosystem.</w:t>
      </w:r>
    </w:p>
    <w:p w14:paraId="59EE07CC" w14:textId="4B931D55" w:rsidR="0005498F" w:rsidRDefault="00240CDD" w:rsidP="0005498F">
      <w:pPr>
        <w:rPr>
          <w:rFonts w:ascii="Calibri" w:eastAsia="Times New Roman" w:hAnsi="Calibri" w:cs="Calibri"/>
          <w:color w:val="212121"/>
          <w:kern w:val="0"/>
          <w:szCs w:val="22"/>
          <w:lang w:eastAsia="en-GB"/>
          <w14:ligatures w14:val="none"/>
        </w:rPr>
      </w:pPr>
      <w:r>
        <w:rPr>
          <w:rFonts w:ascii="Calibri" w:eastAsia="Times New Roman" w:hAnsi="Calibri" w:cs="Calibri"/>
          <w:color w:val="212121"/>
          <w:kern w:val="0"/>
          <w:szCs w:val="22"/>
          <w:lang w:eastAsia="en-GB"/>
          <w14:ligatures w14:val="none"/>
        </w:rPr>
        <w:t xml:space="preserve">Figure 7 shows trends across </w:t>
      </w:r>
      <w:r w:rsidR="00787B88">
        <w:rPr>
          <w:rFonts w:ascii="Calibri" w:eastAsia="Times New Roman" w:hAnsi="Calibri" w:cs="Calibri"/>
          <w:color w:val="212121"/>
          <w:kern w:val="0"/>
          <w:szCs w:val="22"/>
          <w:lang w:eastAsia="en-GB"/>
          <w14:ligatures w14:val="none"/>
        </w:rPr>
        <w:t xml:space="preserve">Australia’s trading partners in Government expenditure on R&amp;D. </w:t>
      </w:r>
    </w:p>
    <w:p w14:paraId="7F279A21" w14:textId="7BDE0B6E" w:rsidR="009D3284" w:rsidRDefault="0005498F" w:rsidP="009D3284">
      <w:pPr>
        <w:pStyle w:val="Caption"/>
        <w:keepNext/>
        <w:spacing w:before="0" w:after="0"/>
      </w:pPr>
      <w:bookmarkStart w:id="12" w:name="_Ref158388147"/>
      <w:r>
        <w:t xml:space="preserve">Figure </w:t>
      </w:r>
      <w:r>
        <w:fldChar w:fldCharType="begin"/>
      </w:r>
      <w:r>
        <w:instrText xml:space="preserve"> SEQ Figure \* ARABIC </w:instrText>
      </w:r>
      <w:r>
        <w:fldChar w:fldCharType="separate"/>
      </w:r>
      <w:r w:rsidR="0055791C">
        <w:rPr>
          <w:noProof/>
        </w:rPr>
        <w:t>5</w:t>
      </w:r>
      <w:r>
        <w:fldChar w:fldCharType="end"/>
      </w:r>
      <w:bookmarkEnd w:id="12"/>
      <w:r>
        <w:t xml:space="preserve">: Government </w:t>
      </w:r>
      <w:r w:rsidRPr="007D718E">
        <w:t xml:space="preserve">Expenditure on R&amp;D </w:t>
      </w:r>
      <w:r>
        <w:t xml:space="preserve">as </w:t>
      </w:r>
    </w:p>
    <w:p w14:paraId="1BAE0856" w14:textId="79262304" w:rsidR="0005498F" w:rsidRDefault="0005498F" w:rsidP="009D3284">
      <w:pPr>
        <w:pStyle w:val="Caption"/>
        <w:keepNext/>
        <w:spacing w:before="0" w:after="0"/>
      </w:pPr>
      <w:r>
        <w:t xml:space="preserve">a proportion of GDP </w:t>
      </w:r>
      <w:r w:rsidR="00F74928">
        <w:t>(%)</w:t>
      </w:r>
      <w:r w:rsidR="00465E8A">
        <w:t xml:space="preserve">: </w:t>
      </w:r>
      <w:r w:rsidR="00F74928">
        <w:t>Australia’s major trading partners</w:t>
      </w:r>
    </w:p>
    <w:p w14:paraId="7E827BF1" w14:textId="0D4248F1" w:rsidR="0005498F" w:rsidRDefault="00F74928" w:rsidP="009D3284">
      <w:pPr>
        <w:spacing w:before="0" w:after="0"/>
        <w:jc w:val="center"/>
        <w:rPr>
          <w:rFonts w:ascii="Calibri" w:eastAsia="Times New Roman" w:hAnsi="Calibri" w:cs="Calibri"/>
          <w:color w:val="212121"/>
          <w:kern w:val="0"/>
          <w:szCs w:val="22"/>
          <w:lang w:eastAsia="en-GB"/>
          <w14:ligatures w14:val="none"/>
        </w:rPr>
      </w:pPr>
      <w:r>
        <w:rPr>
          <w:noProof/>
        </w:rPr>
        <w:drawing>
          <wp:inline distT="0" distB="0" distL="0" distR="0" wp14:anchorId="42F5016B" wp14:editId="427188C4">
            <wp:extent cx="4752000" cy="2268000"/>
            <wp:effectExtent l="12700" t="12700" r="10795" b="18415"/>
            <wp:docPr id="3862392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239217" name=""/>
                    <pic:cNvPicPr/>
                  </pic:nvPicPr>
                  <pic:blipFill rotWithShape="1">
                    <a:blip r:embed="rId16"/>
                    <a:srcRect t="8814"/>
                    <a:stretch/>
                  </pic:blipFill>
                  <pic:spPr bwMode="auto">
                    <a:xfrm>
                      <a:off x="0" y="0"/>
                      <a:ext cx="4752000" cy="2268000"/>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6ED9CF4C" w14:textId="77777777" w:rsidR="0005498F" w:rsidRPr="004A17EB" w:rsidRDefault="0005498F" w:rsidP="009D3284">
      <w:pPr>
        <w:spacing w:before="0" w:after="0"/>
        <w:ind w:firstLine="720"/>
        <w:rPr>
          <w:rFonts w:eastAsia="Times New Roman" w:cs="Calibri"/>
          <w:color w:val="212121"/>
          <w:kern w:val="0"/>
          <w:sz w:val="16"/>
          <w:szCs w:val="16"/>
          <w:lang w:eastAsia="en-GB"/>
          <w14:ligatures w14:val="none"/>
        </w:rPr>
      </w:pPr>
      <w:r w:rsidRPr="004A17EB">
        <w:rPr>
          <w:rFonts w:eastAsia="Times New Roman" w:cs="Calibri"/>
          <w:color w:val="212121"/>
          <w:kern w:val="0"/>
          <w:sz w:val="16"/>
          <w:szCs w:val="16"/>
          <w:lang w:eastAsia="en-GB"/>
          <w14:ligatures w14:val="none"/>
        </w:rPr>
        <w:t>So</w:t>
      </w:r>
      <w:r w:rsidRPr="00660AEB">
        <w:rPr>
          <w:rFonts w:eastAsia="Times New Roman" w:cs="Calibri"/>
          <w:color w:val="212121"/>
          <w:kern w:val="0"/>
          <w:sz w:val="16"/>
          <w:szCs w:val="16"/>
          <w:lang w:eastAsia="en-GB"/>
          <w14:ligatures w14:val="none"/>
        </w:rPr>
        <w:t>urce: OECD</w:t>
      </w:r>
      <w:r>
        <w:rPr>
          <w:rFonts w:eastAsia="Times New Roman" w:cs="Calibri"/>
          <w:color w:val="212121"/>
          <w:kern w:val="0"/>
          <w:sz w:val="16"/>
          <w:szCs w:val="16"/>
          <w:lang w:eastAsia="en-GB"/>
          <w14:ligatures w14:val="none"/>
        </w:rPr>
        <w:t xml:space="preserve"> </w:t>
      </w:r>
      <w:hyperlink r:id="rId17" w:tgtFrame="_blank" w:history="1">
        <w:r w:rsidRPr="00660AEB">
          <w:rPr>
            <w:rStyle w:val="Hyperlink"/>
            <w:color w:val="007BC7"/>
            <w:sz w:val="16"/>
            <w:szCs w:val="16"/>
            <w:shd w:val="clear" w:color="auto" w:fill="FFFFFF"/>
          </w:rPr>
          <w:t>Main Science and Technology Indicators (MSTI database)</w:t>
        </w:r>
      </w:hyperlink>
      <w:r>
        <w:rPr>
          <w:sz w:val="16"/>
          <w:szCs w:val="16"/>
        </w:rPr>
        <w:t>, Accessed 9 Feb, 2024</w:t>
      </w:r>
    </w:p>
    <w:p w14:paraId="34F29577" w14:textId="54A0E971" w:rsidR="0005498F" w:rsidRPr="004A17EB" w:rsidRDefault="0005498F" w:rsidP="0005498F">
      <w:pPr>
        <w:rPr>
          <w:rFonts w:eastAsia="Times New Roman" w:cs="Calibri"/>
          <w:color w:val="212121"/>
          <w:kern w:val="0"/>
          <w:sz w:val="16"/>
          <w:szCs w:val="16"/>
          <w:lang w:eastAsia="en-GB"/>
          <w14:ligatures w14:val="none"/>
        </w:rPr>
      </w:pPr>
      <w:r>
        <w:rPr>
          <w:rFonts w:ascii="Calibri" w:eastAsia="Times New Roman" w:hAnsi="Calibri" w:cs="Calibri"/>
          <w:color w:val="212121"/>
          <w:kern w:val="0"/>
          <w:szCs w:val="22"/>
          <w:lang w:eastAsia="en-GB"/>
          <w14:ligatures w14:val="none"/>
        </w:rPr>
        <w:t xml:space="preserve">Across </w:t>
      </w:r>
      <w:r w:rsidR="007F1964">
        <w:rPr>
          <w:rFonts w:ascii="Calibri" w:eastAsia="Times New Roman" w:hAnsi="Calibri" w:cs="Calibri"/>
          <w:color w:val="212121"/>
          <w:kern w:val="0"/>
          <w:szCs w:val="22"/>
          <w:lang w:eastAsia="en-GB"/>
          <w14:ligatures w14:val="none"/>
        </w:rPr>
        <w:t>our trading partners</w:t>
      </w:r>
      <w:r>
        <w:rPr>
          <w:rFonts w:ascii="Calibri" w:eastAsia="Times New Roman" w:hAnsi="Calibri" w:cs="Calibri"/>
          <w:color w:val="212121"/>
          <w:kern w:val="0"/>
          <w:szCs w:val="22"/>
          <w:lang w:eastAsia="en-GB"/>
          <w14:ligatures w14:val="none"/>
        </w:rPr>
        <w:t xml:space="preserve">, there has been a steady decline in </w:t>
      </w:r>
      <w:r w:rsidR="00CF71BC">
        <w:rPr>
          <w:rFonts w:ascii="Calibri" w:eastAsia="Times New Roman" w:hAnsi="Calibri" w:cs="Calibri"/>
          <w:color w:val="212121"/>
          <w:kern w:val="0"/>
          <w:szCs w:val="22"/>
          <w:lang w:eastAsia="en-GB"/>
          <w14:ligatures w14:val="none"/>
        </w:rPr>
        <w:t xml:space="preserve">Government R&amp;D expenditure on R&amp;D, </w:t>
      </w:r>
      <w:r>
        <w:rPr>
          <w:rFonts w:ascii="Calibri" w:eastAsia="Times New Roman" w:hAnsi="Calibri" w:cs="Calibri"/>
          <w:color w:val="212121"/>
          <w:kern w:val="0"/>
          <w:szCs w:val="22"/>
          <w:lang w:eastAsia="en-GB"/>
          <w14:ligatures w14:val="none"/>
        </w:rPr>
        <w:t>with the notable exception</w:t>
      </w:r>
      <w:r w:rsidR="00CF71BC">
        <w:rPr>
          <w:rFonts w:ascii="Calibri" w:eastAsia="Times New Roman" w:hAnsi="Calibri" w:cs="Calibri"/>
          <w:color w:val="212121"/>
          <w:kern w:val="0"/>
          <w:szCs w:val="22"/>
          <w:lang w:eastAsia="en-GB"/>
          <w14:ligatures w14:val="none"/>
        </w:rPr>
        <w:t>s</w:t>
      </w:r>
      <w:r>
        <w:rPr>
          <w:rFonts w:ascii="Calibri" w:eastAsia="Times New Roman" w:hAnsi="Calibri" w:cs="Calibri"/>
          <w:color w:val="212121"/>
          <w:kern w:val="0"/>
          <w:szCs w:val="22"/>
          <w:lang w:eastAsia="en-GB"/>
          <w14:ligatures w14:val="none"/>
        </w:rPr>
        <w:t xml:space="preserve"> of Korea</w:t>
      </w:r>
      <w:r w:rsidR="00CF71BC">
        <w:rPr>
          <w:rFonts w:ascii="Calibri" w:eastAsia="Times New Roman" w:hAnsi="Calibri" w:cs="Calibri"/>
          <w:color w:val="212121"/>
          <w:kern w:val="0"/>
          <w:szCs w:val="22"/>
          <w:lang w:eastAsia="en-GB"/>
          <w14:ligatures w14:val="none"/>
        </w:rPr>
        <w:t xml:space="preserve"> and China</w:t>
      </w:r>
      <w:r>
        <w:rPr>
          <w:rFonts w:ascii="Calibri" w:eastAsia="Times New Roman" w:hAnsi="Calibri" w:cs="Calibri"/>
          <w:color w:val="212121"/>
          <w:kern w:val="0"/>
          <w:szCs w:val="22"/>
          <w:lang w:eastAsia="en-GB"/>
          <w14:ligatures w14:val="none"/>
        </w:rPr>
        <w:t xml:space="preserve">. The decline in Australia has been particularly marked, from a peak of 0.41% for most of the 1990s to 0.17% in 2020. </w:t>
      </w:r>
    </w:p>
    <w:p w14:paraId="2C461048" w14:textId="2D0E8C09" w:rsidR="007F1964" w:rsidRDefault="007F1964" w:rsidP="007F1964">
      <w:pPr>
        <w:pStyle w:val="Heading1"/>
        <w:rPr>
          <w:rFonts w:eastAsia="Times New Roman"/>
          <w:lang w:eastAsia="en-GB"/>
        </w:rPr>
      </w:pPr>
      <w:bookmarkStart w:id="13" w:name="_Toc163230112"/>
      <w:bookmarkStart w:id="14" w:name="_Toc163534698"/>
      <w:r>
        <w:rPr>
          <w:rFonts w:eastAsia="Times New Roman"/>
          <w:lang w:eastAsia="en-GB"/>
        </w:rPr>
        <w:t>Concluding comment</w:t>
      </w:r>
      <w:bookmarkEnd w:id="13"/>
      <w:bookmarkEnd w:id="14"/>
    </w:p>
    <w:p w14:paraId="4CDA49D5" w14:textId="7EA15190" w:rsidR="007F1964" w:rsidRDefault="007F1964" w:rsidP="007F1964">
      <w:pPr>
        <w:rPr>
          <w:lang w:eastAsia="en-GB"/>
        </w:rPr>
      </w:pPr>
      <w:r>
        <w:rPr>
          <w:lang w:eastAsia="en-GB"/>
        </w:rPr>
        <w:t>Australian R&amp;D investment is in a poor state:</w:t>
      </w:r>
    </w:p>
    <w:p w14:paraId="6DADD11D" w14:textId="6AE3C0D8" w:rsidR="007F1964" w:rsidRDefault="007F1964" w:rsidP="007F1964">
      <w:pPr>
        <w:pStyle w:val="ListParagraph"/>
        <w:numPr>
          <w:ilvl w:val="0"/>
          <w:numId w:val="13"/>
        </w:numPr>
        <w:rPr>
          <w:lang w:eastAsia="en-GB"/>
        </w:rPr>
      </w:pPr>
      <w:r>
        <w:rPr>
          <w:lang w:eastAsia="en-GB"/>
        </w:rPr>
        <w:t>Business R&amp;D has collapsed.</w:t>
      </w:r>
    </w:p>
    <w:p w14:paraId="4E06408B" w14:textId="77777777" w:rsidR="00801DCA" w:rsidRDefault="00801DCA" w:rsidP="00801DCA">
      <w:pPr>
        <w:pStyle w:val="ListParagraph"/>
        <w:numPr>
          <w:ilvl w:val="0"/>
          <w:numId w:val="13"/>
        </w:numPr>
        <w:rPr>
          <w:lang w:eastAsia="en-GB"/>
        </w:rPr>
      </w:pPr>
      <w:r>
        <w:rPr>
          <w:lang w:eastAsia="en-GB"/>
        </w:rPr>
        <w:t xml:space="preserve">The government has failed to support R&amp;D in its own research facilities. </w:t>
      </w:r>
    </w:p>
    <w:p w14:paraId="71BED12F" w14:textId="5981FD6A" w:rsidR="007F1964" w:rsidRDefault="007F1964" w:rsidP="007F1964">
      <w:pPr>
        <w:pStyle w:val="ListParagraph"/>
        <w:numPr>
          <w:ilvl w:val="0"/>
          <w:numId w:val="13"/>
        </w:numPr>
        <w:rPr>
          <w:lang w:eastAsia="en-GB"/>
        </w:rPr>
      </w:pPr>
      <w:r>
        <w:rPr>
          <w:lang w:eastAsia="en-GB"/>
        </w:rPr>
        <w:t>Higher Education R&amp;D has increased on the back of international student fees.</w:t>
      </w:r>
    </w:p>
    <w:p w14:paraId="37CC6BBD" w14:textId="33841F4C" w:rsidR="005070E8" w:rsidRDefault="005070E8" w:rsidP="005070E8">
      <w:pPr>
        <w:rPr>
          <w:rFonts w:ascii="Calibri" w:eastAsia="Times New Roman" w:hAnsi="Calibri" w:cs="Calibri"/>
          <w:color w:val="212121"/>
          <w:kern w:val="0"/>
          <w:szCs w:val="22"/>
          <w:shd w:val="clear" w:color="auto" w:fill="FAFAFA"/>
          <w:lang w:eastAsia="en-GB"/>
          <w14:ligatures w14:val="none"/>
        </w:rPr>
      </w:pPr>
      <w:r>
        <w:rPr>
          <w:rFonts w:ascii="Calibri" w:eastAsia="Times New Roman" w:hAnsi="Calibri" w:cs="Calibri"/>
          <w:color w:val="212121"/>
          <w:kern w:val="0"/>
          <w:szCs w:val="22"/>
          <w:shd w:val="clear" w:color="auto" w:fill="FAFAFA"/>
          <w:lang w:eastAsia="en-GB"/>
          <w14:ligatures w14:val="none"/>
        </w:rPr>
        <w:t xml:space="preserve">Paper 2 </w:t>
      </w:r>
      <w:r w:rsidR="00240CDD">
        <w:rPr>
          <w:rFonts w:ascii="Calibri" w:eastAsia="Times New Roman" w:hAnsi="Calibri" w:cs="Calibri"/>
          <w:color w:val="212121"/>
          <w:kern w:val="0"/>
          <w:szCs w:val="22"/>
          <w:shd w:val="clear" w:color="auto" w:fill="FAFAFA"/>
          <w:lang w:eastAsia="en-GB"/>
          <w14:ligatures w14:val="none"/>
        </w:rPr>
        <w:t>explores the reasons for the collapse of business R&amp;D. Without that understanding, we cannot develop solutions to our current problems</w:t>
      </w:r>
      <w:r>
        <w:rPr>
          <w:rFonts w:ascii="Calibri" w:eastAsia="Times New Roman" w:hAnsi="Calibri" w:cs="Calibri"/>
          <w:color w:val="212121"/>
          <w:kern w:val="0"/>
          <w:szCs w:val="22"/>
          <w:shd w:val="clear" w:color="auto" w:fill="FAFAFA"/>
          <w:lang w:eastAsia="en-GB"/>
          <w14:ligatures w14:val="none"/>
        </w:rPr>
        <w:t>. Looking back</w:t>
      </w:r>
      <w:r w:rsidR="00240CDD">
        <w:rPr>
          <w:rFonts w:ascii="Calibri" w:eastAsia="Times New Roman" w:hAnsi="Calibri" w:cs="Calibri"/>
          <w:color w:val="212121"/>
          <w:kern w:val="0"/>
          <w:szCs w:val="22"/>
          <w:shd w:val="clear" w:color="auto" w:fill="FAFAFA"/>
          <w:lang w:eastAsia="en-GB"/>
          <w14:ligatures w14:val="none"/>
        </w:rPr>
        <w:t>, we can tell</w:t>
      </w:r>
      <w:r>
        <w:rPr>
          <w:rFonts w:ascii="Calibri" w:eastAsia="Times New Roman" w:hAnsi="Calibri" w:cs="Calibri"/>
          <w:color w:val="212121"/>
          <w:kern w:val="0"/>
          <w:szCs w:val="22"/>
          <w:shd w:val="clear" w:color="auto" w:fill="FAFAFA"/>
          <w:lang w:eastAsia="en-GB"/>
          <w14:ligatures w14:val="none"/>
        </w:rPr>
        <w:t xml:space="preserve"> what happened and why. Nonetheless, business organisations, lobby groups, and commentators will continue to act in ignorance and promulgate bad or inappropriate policy prescriptions. </w:t>
      </w:r>
    </w:p>
    <w:p w14:paraId="2366345A" w14:textId="5B099D6F" w:rsidR="0005498F" w:rsidRPr="00695055" w:rsidRDefault="0005498F" w:rsidP="00695055">
      <w:pPr>
        <w:spacing w:before="0" w:after="0"/>
        <w:rPr>
          <w:rFonts w:ascii="Calibri" w:eastAsia="Times New Roman" w:hAnsi="Calibri" w:cs="Calibri"/>
          <w:color w:val="212121"/>
          <w:kern w:val="0"/>
          <w:szCs w:val="22"/>
          <w:shd w:val="clear" w:color="auto" w:fill="FAFAFA"/>
          <w:lang w:eastAsia="en-GB"/>
          <w14:ligatures w14:val="none"/>
        </w:rPr>
      </w:pPr>
    </w:p>
    <w:sectPr w:rsidR="0005498F" w:rsidRPr="00695055" w:rsidSect="00B94CCA">
      <w:footerReference w:type="even" r:id="rId18"/>
      <w:footerReference w:type="default" r:id="rId19"/>
      <w:pgSz w:w="11901" w:h="16817" w:code="9"/>
      <w:pgMar w:top="1440" w:right="1440" w:bottom="1440" w:left="1440" w:header="93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949B7" w14:textId="77777777" w:rsidR="00B94CCA" w:rsidRDefault="00B94CCA" w:rsidP="00AD085B">
      <w:pPr>
        <w:spacing w:before="0" w:after="0"/>
      </w:pPr>
      <w:r>
        <w:separator/>
      </w:r>
    </w:p>
  </w:endnote>
  <w:endnote w:type="continuationSeparator" w:id="0">
    <w:p w14:paraId="5500F665" w14:textId="77777777" w:rsidR="00B94CCA" w:rsidRDefault="00B94CCA" w:rsidP="00AD085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1299166"/>
      <w:docPartObj>
        <w:docPartGallery w:val="Page Numbers (Bottom of Page)"/>
        <w:docPartUnique/>
      </w:docPartObj>
    </w:sdtPr>
    <w:sdtEndPr>
      <w:rPr>
        <w:rStyle w:val="PageNumber"/>
      </w:rPr>
    </w:sdtEndPr>
    <w:sdtContent>
      <w:p w14:paraId="2CF76816" w14:textId="5E9A4F36" w:rsidR="00AD085B" w:rsidRDefault="00AD085B" w:rsidP="00A04D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171E6F" w14:textId="77777777" w:rsidR="00AD085B" w:rsidRDefault="00AD085B" w:rsidP="00AD08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2947256"/>
      <w:docPartObj>
        <w:docPartGallery w:val="Page Numbers (Bottom of Page)"/>
        <w:docPartUnique/>
      </w:docPartObj>
    </w:sdtPr>
    <w:sdtEndPr>
      <w:rPr>
        <w:rStyle w:val="PageNumber"/>
      </w:rPr>
    </w:sdtEndPr>
    <w:sdtContent>
      <w:p w14:paraId="306B21AA" w14:textId="36340385" w:rsidR="00AD085B" w:rsidRDefault="00AD085B" w:rsidP="00A04D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D6E6D7D" w14:textId="2BFC6D63" w:rsidR="00AD085B" w:rsidRDefault="00776766" w:rsidP="00AD085B">
    <w:pPr>
      <w:pStyle w:val="Footer"/>
      <w:ind w:right="360"/>
    </w:pPr>
    <w:r>
      <w:t>© John H Howard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C9C5A" w14:textId="77777777" w:rsidR="00B94CCA" w:rsidRDefault="00B94CCA" w:rsidP="00AD085B">
      <w:pPr>
        <w:spacing w:before="0" w:after="0"/>
      </w:pPr>
      <w:r>
        <w:separator/>
      </w:r>
    </w:p>
  </w:footnote>
  <w:footnote w:type="continuationSeparator" w:id="0">
    <w:p w14:paraId="5140C072" w14:textId="77777777" w:rsidR="00B94CCA" w:rsidRDefault="00B94CCA" w:rsidP="00AD085B">
      <w:pPr>
        <w:spacing w:before="0" w:after="0"/>
      </w:pPr>
      <w:r>
        <w:continuationSeparator/>
      </w:r>
    </w:p>
  </w:footnote>
  <w:footnote w:id="1">
    <w:p w14:paraId="49B7D07B" w14:textId="77777777" w:rsidR="00702941" w:rsidRPr="00702941" w:rsidRDefault="00702941" w:rsidP="00702941">
      <w:pPr>
        <w:pStyle w:val="FootnoteText"/>
        <w:rPr>
          <w:sz w:val="16"/>
          <w:szCs w:val="16"/>
        </w:rPr>
      </w:pPr>
      <w:r w:rsidRPr="00702941">
        <w:rPr>
          <w:rStyle w:val="FootnoteReference"/>
          <w:sz w:val="16"/>
          <w:szCs w:val="16"/>
        </w:rPr>
        <w:footnoteRef/>
      </w:r>
      <w:r w:rsidRPr="00702941">
        <w:rPr>
          <w:sz w:val="16"/>
          <w:szCs w:val="16"/>
        </w:rPr>
        <w:t xml:space="preserve"> Jones. Brad, 2024. Financing SME Innovation in Australia – Challenges and Opportunities, Speech to the COSBOOA National Small Business Summit, Sydney, 4 April 2004. </w:t>
      </w:r>
      <w:hyperlink r:id="rId1" w:history="1">
        <w:r w:rsidRPr="00702941">
          <w:rPr>
            <w:rStyle w:val="Hyperlink"/>
            <w:sz w:val="16"/>
            <w:szCs w:val="16"/>
          </w:rPr>
          <w:t>https://www.rba.gov.au/speeches/2024/sp-ag-2024-04-04.html</w:t>
        </w:r>
      </w:hyperlink>
      <w:r w:rsidRPr="00702941">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93AF7"/>
    <w:multiLevelType w:val="multilevel"/>
    <w:tmpl w:val="1DD84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DB23D88"/>
    <w:multiLevelType w:val="multilevel"/>
    <w:tmpl w:val="EF9E3568"/>
    <w:lvl w:ilvl="0">
      <w:start w:val="1"/>
      <w:numFmt w:val="decimal"/>
      <w:lvlText w:val="%1"/>
      <w:lvlJc w:val="left"/>
      <w:pPr>
        <w:ind w:left="999" w:hanging="432"/>
      </w:pPr>
    </w:lvl>
    <w:lvl w:ilvl="1">
      <w:start w:val="1"/>
      <w:numFmt w:val="decimal"/>
      <w:lvlText w:val="%1.%2"/>
      <w:lvlJc w:val="left"/>
      <w:pPr>
        <w:ind w:left="1143" w:hanging="576"/>
      </w:pPr>
    </w:lvl>
    <w:lvl w:ilvl="2">
      <w:start w:val="1"/>
      <w:numFmt w:val="decimal"/>
      <w:lvlText w:val="%1.%2.%3"/>
      <w:lvlJc w:val="left"/>
      <w:pPr>
        <w:ind w:left="1287" w:hanging="720"/>
      </w:pPr>
    </w:lvl>
    <w:lvl w:ilvl="3">
      <w:start w:val="1"/>
      <w:numFmt w:val="decimal"/>
      <w:lvlText w:val="%1.%2.%3.%4"/>
      <w:lvlJc w:val="left"/>
      <w:pPr>
        <w:ind w:left="1431" w:hanging="864"/>
      </w:pPr>
    </w:lvl>
    <w:lvl w:ilvl="4">
      <w:start w:val="1"/>
      <w:numFmt w:val="decimal"/>
      <w:lvlText w:val="%1.%2.%3.%4.%5"/>
      <w:lvlJc w:val="left"/>
      <w:pPr>
        <w:ind w:left="1575" w:hanging="1008"/>
      </w:pPr>
    </w:lvl>
    <w:lvl w:ilvl="5">
      <w:start w:val="1"/>
      <w:numFmt w:val="decimal"/>
      <w:lvlText w:val="%1.%2.%3.%4.%5.%6"/>
      <w:lvlJc w:val="left"/>
      <w:pPr>
        <w:ind w:left="1719" w:hanging="1152"/>
      </w:pPr>
    </w:lvl>
    <w:lvl w:ilvl="6">
      <w:start w:val="1"/>
      <w:numFmt w:val="decimal"/>
      <w:lvlText w:val="%1.%2.%3.%4.%5.%6.%7"/>
      <w:lvlJc w:val="left"/>
      <w:pPr>
        <w:ind w:left="1863" w:hanging="1296"/>
      </w:pPr>
    </w:lvl>
    <w:lvl w:ilvl="7">
      <w:start w:val="1"/>
      <w:numFmt w:val="decimal"/>
      <w:lvlText w:val="%1.%2.%3.%4.%5.%6.%7.%8"/>
      <w:lvlJc w:val="left"/>
      <w:pPr>
        <w:ind w:left="2007" w:hanging="1440"/>
      </w:pPr>
    </w:lvl>
    <w:lvl w:ilvl="8">
      <w:start w:val="1"/>
      <w:numFmt w:val="decimal"/>
      <w:lvlText w:val="%1.%2.%3.%4.%5.%6.%7.%8.%9"/>
      <w:lvlJc w:val="left"/>
      <w:pPr>
        <w:ind w:left="2151" w:hanging="1584"/>
      </w:pPr>
    </w:lvl>
  </w:abstractNum>
  <w:abstractNum w:abstractNumId="2" w15:restartNumberingAfterBreak="0">
    <w:nsid w:val="603D6196"/>
    <w:multiLevelType w:val="multilevel"/>
    <w:tmpl w:val="5680E26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6F5A1457"/>
    <w:multiLevelType w:val="hybridMultilevel"/>
    <w:tmpl w:val="13F64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9630D76"/>
    <w:multiLevelType w:val="multilevel"/>
    <w:tmpl w:val="0FB2A10A"/>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7D8E75F2"/>
    <w:multiLevelType w:val="hybridMultilevel"/>
    <w:tmpl w:val="093C8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3016472">
    <w:abstractNumId w:val="4"/>
  </w:num>
  <w:num w:numId="2" w16cid:durableId="486290252">
    <w:abstractNumId w:val="0"/>
  </w:num>
  <w:num w:numId="3" w16cid:durableId="511190362">
    <w:abstractNumId w:val="0"/>
  </w:num>
  <w:num w:numId="4" w16cid:durableId="1190997357">
    <w:abstractNumId w:val="4"/>
  </w:num>
  <w:num w:numId="5" w16cid:durableId="1112016238">
    <w:abstractNumId w:val="4"/>
  </w:num>
  <w:num w:numId="6" w16cid:durableId="1570579119">
    <w:abstractNumId w:val="2"/>
  </w:num>
  <w:num w:numId="7" w16cid:durableId="443889726">
    <w:abstractNumId w:val="2"/>
  </w:num>
  <w:num w:numId="8" w16cid:durableId="1753966728">
    <w:abstractNumId w:val="1"/>
  </w:num>
  <w:num w:numId="9" w16cid:durableId="516122912">
    <w:abstractNumId w:val="1"/>
  </w:num>
  <w:num w:numId="10" w16cid:durableId="1543521776">
    <w:abstractNumId w:val="4"/>
  </w:num>
  <w:num w:numId="11" w16cid:durableId="1046681834">
    <w:abstractNumId w:val="4"/>
  </w:num>
  <w:num w:numId="12" w16cid:durableId="1924754869">
    <w:abstractNumId w:val="4"/>
  </w:num>
  <w:num w:numId="13" w16cid:durableId="646545025">
    <w:abstractNumId w:val="5"/>
  </w:num>
  <w:num w:numId="14" w16cid:durableId="274798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s>
  <w:rsids>
    <w:rsidRoot w:val="00D052A3"/>
    <w:rsid w:val="000014DF"/>
    <w:rsid w:val="00002EB3"/>
    <w:rsid w:val="000241DF"/>
    <w:rsid w:val="0002664C"/>
    <w:rsid w:val="0004718D"/>
    <w:rsid w:val="000504B3"/>
    <w:rsid w:val="0005498F"/>
    <w:rsid w:val="00060E82"/>
    <w:rsid w:val="00061538"/>
    <w:rsid w:val="00061691"/>
    <w:rsid w:val="00062CE7"/>
    <w:rsid w:val="000646CF"/>
    <w:rsid w:val="000661CB"/>
    <w:rsid w:val="0008445D"/>
    <w:rsid w:val="00085315"/>
    <w:rsid w:val="00091ED3"/>
    <w:rsid w:val="000A224F"/>
    <w:rsid w:val="000B4713"/>
    <w:rsid w:val="000B6307"/>
    <w:rsid w:val="000C46F4"/>
    <w:rsid w:val="000D00BE"/>
    <w:rsid w:val="000D41F2"/>
    <w:rsid w:val="000D692F"/>
    <w:rsid w:val="000D7E3D"/>
    <w:rsid w:val="000E1D93"/>
    <w:rsid w:val="000E5C10"/>
    <w:rsid w:val="000F12D8"/>
    <w:rsid w:val="000F1BF3"/>
    <w:rsid w:val="000F2190"/>
    <w:rsid w:val="00124E08"/>
    <w:rsid w:val="00130DC6"/>
    <w:rsid w:val="001313CC"/>
    <w:rsid w:val="001318F8"/>
    <w:rsid w:val="001405C8"/>
    <w:rsid w:val="00144DB5"/>
    <w:rsid w:val="00145E87"/>
    <w:rsid w:val="0014710A"/>
    <w:rsid w:val="0015386F"/>
    <w:rsid w:val="00162793"/>
    <w:rsid w:val="0016325D"/>
    <w:rsid w:val="00163AC6"/>
    <w:rsid w:val="00171FE5"/>
    <w:rsid w:val="00186CC0"/>
    <w:rsid w:val="00187EC8"/>
    <w:rsid w:val="0019182A"/>
    <w:rsid w:val="001C2A41"/>
    <w:rsid w:val="001E1CAF"/>
    <w:rsid w:val="001F612E"/>
    <w:rsid w:val="001F7377"/>
    <w:rsid w:val="00200C2E"/>
    <w:rsid w:val="00207EB8"/>
    <w:rsid w:val="002246E7"/>
    <w:rsid w:val="00234457"/>
    <w:rsid w:val="00240CDD"/>
    <w:rsid w:val="00253AB0"/>
    <w:rsid w:val="00256891"/>
    <w:rsid w:val="002621D1"/>
    <w:rsid w:val="002663EA"/>
    <w:rsid w:val="00267B16"/>
    <w:rsid w:val="00273EE7"/>
    <w:rsid w:val="0027538F"/>
    <w:rsid w:val="002927A5"/>
    <w:rsid w:val="00296D2F"/>
    <w:rsid w:val="002971C7"/>
    <w:rsid w:val="002A3B8E"/>
    <w:rsid w:val="002B2256"/>
    <w:rsid w:val="002B5216"/>
    <w:rsid w:val="002C09B2"/>
    <w:rsid w:val="002C2F63"/>
    <w:rsid w:val="002D3FD3"/>
    <w:rsid w:val="002D718E"/>
    <w:rsid w:val="002E64E5"/>
    <w:rsid w:val="002E6A69"/>
    <w:rsid w:val="002F2A86"/>
    <w:rsid w:val="0032079F"/>
    <w:rsid w:val="003249E9"/>
    <w:rsid w:val="003321CE"/>
    <w:rsid w:val="00333979"/>
    <w:rsid w:val="0034006D"/>
    <w:rsid w:val="00347F77"/>
    <w:rsid w:val="0035362F"/>
    <w:rsid w:val="003541CC"/>
    <w:rsid w:val="00363C94"/>
    <w:rsid w:val="00370573"/>
    <w:rsid w:val="00380FFD"/>
    <w:rsid w:val="00383B9B"/>
    <w:rsid w:val="00384B8A"/>
    <w:rsid w:val="003869CE"/>
    <w:rsid w:val="003869D7"/>
    <w:rsid w:val="003A3EF1"/>
    <w:rsid w:val="003C3B0B"/>
    <w:rsid w:val="003E128C"/>
    <w:rsid w:val="003F06DE"/>
    <w:rsid w:val="003F4E02"/>
    <w:rsid w:val="003F5DDD"/>
    <w:rsid w:val="00411F81"/>
    <w:rsid w:val="0041532E"/>
    <w:rsid w:val="00420150"/>
    <w:rsid w:val="004342FC"/>
    <w:rsid w:val="0045237D"/>
    <w:rsid w:val="004658A6"/>
    <w:rsid w:val="00465E8A"/>
    <w:rsid w:val="00465FCA"/>
    <w:rsid w:val="00475CC2"/>
    <w:rsid w:val="00492BE0"/>
    <w:rsid w:val="004A2344"/>
    <w:rsid w:val="004A458E"/>
    <w:rsid w:val="004B73EA"/>
    <w:rsid w:val="004C41E7"/>
    <w:rsid w:val="004C6621"/>
    <w:rsid w:val="004D0064"/>
    <w:rsid w:val="004D1AE7"/>
    <w:rsid w:val="004D766E"/>
    <w:rsid w:val="004E3A02"/>
    <w:rsid w:val="004F50F2"/>
    <w:rsid w:val="004F73EE"/>
    <w:rsid w:val="005070E8"/>
    <w:rsid w:val="0052213D"/>
    <w:rsid w:val="0052755E"/>
    <w:rsid w:val="00545C46"/>
    <w:rsid w:val="0055125F"/>
    <w:rsid w:val="005551D0"/>
    <w:rsid w:val="0055791C"/>
    <w:rsid w:val="00575B4D"/>
    <w:rsid w:val="0057745B"/>
    <w:rsid w:val="00582809"/>
    <w:rsid w:val="005855EC"/>
    <w:rsid w:val="0059200D"/>
    <w:rsid w:val="00596920"/>
    <w:rsid w:val="00597336"/>
    <w:rsid w:val="00597CB1"/>
    <w:rsid w:val="005A4ECD"/>
    <w:rsid w:val="005A6C4B"/>
    <w:rsid w:val="005C2B63"/>
    <w:rsid w:val="005D03C4"/>
    <w:rsid w:val="005D6987"/>
    <w:rsid w:val="005E6497"/>
    <w:rsid w:val="005F01EE"/>
    <w:rsid w:val="005F4897"/>
    <w:rsid w:val="0060007E"/>
    <w:rsid w:val="00600E55"/>
    <w:rsid w:val="00607596"/>
    <w:rsid w:val="006103C1"/>
    <w:rsid w:val="00612BD6"/>
    <w:rsid w:val="00625140"/>
    <w:rsid w:val="00627C06"/>
    <w:rsid w:val="0064764D"/>
    <w:rsid w:val="00651F5C"/>
    <w:rsid w:val="00654FA1"/>
    <w:rsid w:val="00655F68"/>
    <w:rsid w:val="00656535"/>
    <w:rsid w:val="00660675"/>
    <w:rsid w:val="00670321"/>
    <w:rsid w:val="0067283F"/>
    <w:rsid w:val="006830E7"/>
    <w:rsid w:val="00695055"/>
    <w:rsid w:val="006A0DFE"/>
    <w:rsid w:val="006C6CBD"/>
    <w:rsid w:val="006D09AE"/>
    <w:rsid w:val="006E1F10"/>
    <w:rsid w:val="006F0751"/>
    <w:rsid w:val="006F7DB4"/>
    <w:rsid w:val="00701A5C"/>
    <w:rsid w:val="00702941"/>
    <w:rsid w:val="0070556F"/>
    <w:rsid w:val="00716C4A"/>
    <w:rsid w:val="00720E18"/>
    <w:rsid w:val="0073495E"/>
    <w:rsid w:val="007356C7"/>
    <w:rsid w:val="00735E63"/>
    <w:rsid w:val="00741EBD"/>
    <w:rsid w:val="00752207"/>
    <w:rsid w:val="007662FF"/>
    <w:rsid w:val="00776766"/>
    <w:rsid w:val="0078101A"/>
    <w:rsid w:val="00787B88"/>
    <w:rsid w:val="00787E9C"/>
    <w:rsid w:val="0079229D"/>
    <w:rsid w:val="00793871"/>
    <w:rsid w:val="007A5647"/>
    <w:rsid w:val="007B2AA8"/>
    <w:rsid w:val="007D6877"/>
    <w:rsid w:val="007E1A5D"/>
    <w:rsid w:val="007F08B1"/>
    <w:rsid w:val="007F1964"/>
    <w:rsid w:val="007F239B"/>
    <w:rsid w:val="007F4D38"/>
    <w:rsid w:val="00801DCA"/>
    <w:rsid w:val="008067A3"/>
    <w:rsid w:val="008118D2"/>
    <w:rsid w:val="00815B72"/>
    <w:rsid w:val="00817309"/>
    <w:rsid w:val="008209BD"/>
    <w:rsid w:val="008269AE"/>
    <w:rsid w:val="00834DED"/>
    <w:rsid w:val="00842EE4"/>
    <w:rsid w:val="0084660C"/>
    <w:rsid w:val="008466CB"/>
    <w:rsid w:val="00846F08"/>
    <w:rsid w:val="0085237A"/>
    <w:rsid w:val="00873867"/>
    <w:rsid w:val="00874F1F"/>
    <w:rsid w:val="00881A1A"/>
    <w:rsid w:val="00885DAE"/>
    <w:rsid w:val="008941D4"/>
    <w:rsid w:val="008A2E10"/>
    <w:rsid w:val="008A3EBC"/>
    <w:rsid w:val="008B5B19"/>
    <w:rsid w:val="008B6D52"/>
    <w:rsid w:val="008C11F4"/>
    <w:rsid w:val="008D15AE"/>
    <w:rsid w:val="008D4950"/>
    <w:rsid w:val="008E7C9F"/>
    <w:rsid w:val="008F7110"/>
    <w:rsid w:val="009064FA"/>
    <w:rsid w:val="00912119"/>
    <w:rsid w:val="00914F4D"/>
    <w:rsid w:val="00916A90"/>
    <w:rsid w:val="00924FD6"/>
    <w:rsid w:val="00925FC8"/>
    <w:rsid w:val="009307EB"/>
    <w:rsid w:val="0093195C"/>
    <w:rsid w:val="009333E7"/>
    <w:rsid w:val="00933881"/>
    <w:rsid w:val="0094069E"/>
    <w:rsid w:val="00941C1E"/>
    <w:rsid w:val="0094370A"/>
    <w:rsid w:val="00951D90"/>
    <w:rsid w:val="0096060F"/>
    <w:rsid w:val="00971502"/>
    <w:rsid w:val="00975BDA"/>
    <w:rsid w:val="009B54F2"/>
    <w:rsid w:val="009B6093"/>
    <w:rsid w:val="009C2694"/>
    <w:rsid w:val="009C44E3"/>
    <w:rsid w:val="009D2BC4"/>
    <w:rsid w:val="009D3284"/>
    <w:rsid w:val="009E29A9"/>
    <w:rsid w:val="00A16890"/>
    <w:rsid w:val="00A26504"/>
    <w:rsid w:val="00A31151"/>
    <w:rsid w:val="00A33C68"/>
    <w:rsid w:val="00A425B6"/>
    <w:rsid w:val="00A431CF"/>
    <w:rsid w:val="00A44355"/>
    <w:rsid w:val="00A56A9D"/>
    <w:rsid w:val="00A62A99"/>
    <w:rsid w:val="00A67EAF"/>
    <w:rsid w:val="00A731FD"/>
    <w:rsid w:val="00A8027C"/>
    <w:rsid w:val="00A86C5D"/>
    <w:rsid w:val="00AA3A8B"/>
    <w:rsid w:val="00AC43FA"/>
    <w:rsid w:val="00AC69B6"/>
    <w:rsid w:val="00AD085B"/>
    <w:rsid w:val="00AD1BC1"/>
    <w:rsid w:val="00AD76FD"/>
    <w:rsid w:val="00AE035A"/>
    <w:rsid w:val="00AE1C96"/>
    <w:rsid w:val="00AF2D31"/>
    <w:rsid w:val="00B00069"/>
    <w:rsid w:val="00B05115"/>
    <w:rsid w:val="00B06B9A"/>
    <w:rsid w:val="00B14BB4"/>
    <w:rsid w:val="00B168FA"/>
    <w:rsid w:val="00B20977"/>
    <w:rsid w:val="00B22F7E"/>
    <w:rsid w:val="00B235C1"/>
    <w:rsid w:val="00B252D4"/>
    <w:rsid w:val="00B3004B"/>
    <w:rsid w:val="00B7285C"/>
    <w:rsid w:val="00B77448"/>
    <w:rsid w:val="00B81AD1"/>
    <w:rsid w:val="00B81D1D"/>
    <w:rsid w:val="00B92262"/>
    <w:rsid w:val="00B92C8C"/>
    <w:rsid w:val="00B93900"/>
    <w:rsid w:val="00B94CCA"/>
    <w:rsid w:val="00B973DC"/>
    <w:rsid w:val="00BA02BF"/>
    <w:rsid w:val="00BA78FA"/>
    <w:rsid w:val="00BB05A8"/>
    <w:rsid w:val="00BB25D6"/>
    <w:rsid w:val="00BB5B53"/>
    <w:rsid w:val="00BB6D31"/>
    <w:rsid w:val="00BD11DC"/>
    <w:rsid w:val="00BD568E"/>
    <w:rsid w:val="00BE0D76"/>
    <w:rsid w:val="00BF016C"/>
    <w:rsid w:val="00BF3AAC"/>
    <w:rsid w:val="00BF42C7"/>
    <w:rsid w:val="00BF65AD"/>
    <w:rsid w:val="00BF6887"/>
    <w:rsid w:val="00C00675"/>
    <w:rsid w:val="00C04CE7"/>
    <w:rsid w:val="00C1385C"/>
    <w:rsid w:val="00C2728F"/>
    <w:rsid w:val="00C351FB"/>
    <w:rsid w:val="00C631D2"/>
    <w:rsid w:val="00C77061"/>
    <w:rsid w:val="00C86EF6"/>
    <w:rsid w:val="00CA0D4F"/>
    <w:rsid w:val="00CC0586"/>
    <w:rsid w:val="00CC416F"/>
    <w:rsid w:val="00CC5F2A"/>
    <w:rsid w:val="00CD13F9"/>
    <w:rsid w:val="00CD5677"/>
    <w:rsid w:val="00CD77CE"/>
    <w:rsid w:val="00CF2B8E"/>
    <w:rsid w:val="00CF3585"/>
    <w:rsid w:val="00CF71BC"/>
    <w:rsid w:val="00D02661"/>
    <w:rsid w:val="00D052A3"/>
    <w:rsid w:val="00D200A7"/>
    <w:rsid w:val="00D43FD7"/>
    <w:rsid w:val="00D53AE5"/>
    <w:rsid w:val="00D812ED"/>
    <w:rsid w:val="00D86518"/>
    <w:rsid w:val="00DB0BFD"/>
    <w:rsid w:val="00DD1882"/>
    <w:rsid w:val="00DF3964"/>
    <w:rsid w:val="00DF5736"/>
    <w:rsid w:val="00DF5D39"/>
    <w:rsid w:val="00DF6A12"/>
    <w:rsid w:val="00E0011C"/>
    <w:rsid w:val="00E13A44"/>
    <w:rsid w:val="00E200F9"/>
    <w:rsid w:val="00E333FA"/>
    <w:rsid w:val="00E770D5"/>
    <w:rsid w:val="00EA1EE2"/>
    <w:rsid w:val="00EA4C7E"/>
    <w:rsid w:val="00EA59E4"/>
    <w:rsid w:val="00EB756C"/>
    <w:rsid w:val="00EC04A9"/>
    <w:rsid w:val="00ED045E"/>
    <w:rsid w:val="00ED445B"/>
    <w:rsid w:val="00EF75C3"/>
    <w:rsid w:val="00F06746"/>
    <w:rsid w:val="00F11729"/>
    <w:rsid w:val="00F141AB"/>
    <w:rsid w:val="00F21A21"/>
    <w:rsid w:val="00F31B41"/>
    <w:rsid w:val="00F341C8"/>
    <w:rsid w:val="00F37B6C"/>
    <w:rsid w:val="00F402D9"/>
    <w:rsid w:val="00F4107D"/>
    <w:rsid w:val="00F55123"/>
    <w:rsid w:val="00F61737"/>
    <w:rsid w:val="00F65C6D"/>
    <w:rsid w:val="00F746F3"/>
    <w:rsid w:val="00F74928"/>
    <w:rsid w:val="00F81222"/>
    <w:rsid w:val="00F825D1"/>
    <w:rsid w:val="00F833D7"/>
    <w:rsid w:val="00FB0CC4"/>
    <w:rsid w:val="00FC5036"/>
    <w:rsid w:val="00FD093B"/>
    <w:rsid w:val="00FE281D"/>
    <w:rsid w:val="00FF2D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C43AB"/>
  <w15:chartTrackingRefBased/>
  <w15:docId w15:val="{0A5F5822-E5E8-6146-9651-60B3E2985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2A3"/>
    <w:pPr>
      <w:spacing w:before="120" w:after="120"/>
    </w:pPr>
    <w:rPr>
      <w:sz w:val="22"/>
    </w:rPr>
  </w:style>
  <w:style w:type="paragraph" w:styleId="Heading1">
    <w:name w:val="heading 1"/>
    <w:basedOn w:val="Normal"/>
    <w:next w:val="Normal"/>
    <w:link w:val="Heading1Char"/>
    <w:uiPriority w:val="9"/>
    <w:qFormat/>
    <w:rsid w:val="00752207"/>
    <w:pPr>
      <w:keepNext/>
      <w:keepLines/>
      <w:spacing w:before="240" w:after="0"/>
      <w:outlineLvl w:val="0"/>
    </w:pPr>
    <w:rPr>
      <w:rFonts w:eastAsiaTheme="majorEastAsia" w:cstheme="majorBidi"/>
      <w:b/>
      <w:color w:val="0F4761" w:themeColor="accent1" w:themeShade="BF"/>
      <w:sz w:val="24"/>
      <w:szCs w:val="32"/>
    </w:rPr>
  </w:style>
  <w:style w:type="paragraph" w:styleId="Heading2">
    <w:name w:val="heading 2"/>
    <w:basedOn w:val="Normal"/>
    <w:next w:val="Normal"/>
    <w:link w:val="Heading2Char"/>
    <w:uiPriority w:val="9"/>
    <w:unhideWhenUsed/>
    <w:qFormat/>
    <w:rsid w:val="001313CC"/>
    <w:pPr>
      <w:keepNext/>
      <w:keepLines/>
      <w:spacing w:before="240"/>
      <w:outlineLvl w:val="1"/>
    </w:pPr>
    <w:rPr>
      <w:rFonts w:eastAsiaTheme="majorEastAsia" w:cstheme="majorBidi"/>
      <w:b/>
      <w:color w:val="0F4761" w:themeColor="accent1" w:themeShade="BF"/>
      <w:sz w:val="24"/>
      <w:szCs w:val="26"/>
    </w:rPr>
  </w:style>
  <w:style w:type="paragraph" w:styleId="Heading3">
    <w:name w:val="heading 3"/>
    <w:basedOn w:val="Normal"/>
    <w:next w:val="Normal"/>
    <w:link w:val="Heading3Char"/>
    <w:uiPriority w:val="9"/>
    <w:unhideWhenUsed/>
    <w:qFormat/>
    <w:rsid w:val="004F50F2"/>
    <w:pPr>
      <w:keepNext/>
      <w:keepLines/>
      <w:outlineLvl w:val="2"/>
    </w:pPr>
    <w:rPr>
      <w:rFonts w:eastAsiaTheme="majorEastAsia" w:cstheme="majorBidi"/>
      <w:b/>
      <w:i/>
      <w:color w:val="0A2F40" w:themeColor="accent1" w:themeShade="7F"/>
    </w:rPr>
  </w:style>
  <w:style w:type="paragraph" w:styleId="Heading4">
    <w:name w:val="heading 4"/>
    <w:basedOn w:val="Normal"/>
    <w:next w:val="Normal"/>
    <w:link w:val="Heading4Char"/>
    <w:uiPriority w:val="9"/>
    <w:unhideWhenUsed/>
    <w:qFormat/>
    <w:rsid w:val="00EA1EE2"/>
    <w:pPr>
      <w:keepNext/>
      <w:keepLines/>
      <w:outlineLvl w:val="3"/>
    </w:pPr>
    <w:rPr>
      <w:rFonts w:eastAsiaTheme="majorEastAsia" w:cstheme="majorBidi"/>
      <w:b/>
      <w:i/>
      <w:iCs/>
      <w:color w:val="0F4761" w:themeColor="accent1" w:themeShade="BF"/>
    </w:rPr>
  </w:style>
  <w:style w:type="paragraph" w:styleId="Heading5">
    <w:name w:val="heading 5"/>
    <w:basedOn w:val="Normal"/>
    <w:next w:val="Normal"/>
    <w:link w:val="Heading5Char"/>
    <w:uiPriority w:val="9"/>
    <w:semiHidden/>
    <w:unhideWhenUsed/>
    <w:qFormat/>
    <w:rsid w:val="00D052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52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52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52A3"/>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52A3"/>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BF65AD"/>
    <w:pPr>
      <w:jc w:val="center"/>
    </w:pPr>
    <w:rPr>
      <w:b/>
      <w:iCs/>
      <w:color w:val="0E2841" w:themeColor="text2"/>
      <w:szCs w:val="18"/>
    </w:rPr>
  </w:style>
  <w:style w:type="character" w:customStyle="1" w:styleId="Heading1Char">
    <w:name w:val="Heading 1 Char"/>
    <w:basedOn w:val="DefaultParagraphFont"/>
    <w:link w:val="Heading1"/>
    <w:uiPriority w:val="9"/>
    <w:rsid w:val="00752207"/>
    <w:rPr>
      <w:rFonts w:eastAsiaTheme="majorEastAsia" w:cstheme="majorBidi"/>
      <w:b/>
      <w:color w:val="0F4761" w:themeColor="accent1" w:themeShade="BF"/>
      <w:szCs w:val="32"/>
    </w:rPr>
  </w:style>
  <w:style w:type="paragraph" w:styleId="Title">
    <w:name w:val="Title"/>
    <w:basedOn w:val="Normal"/>
    <w:next w:val="Normal"/>
    <w:link w:val="TitleChar"/>
    <w:qFormat/>
    <w:rsid w:val="008A3EBC"/>
    <w:pPr>
      <w:spacing w:before="0" w:after="0"/>
      <w:contextualSpacing/>
      <w:jc w:val="center"/>
    </w:pPr>
    <w:rPr>
      <w:rFonts w:eastAsiaTheme="majorEastAsia" w:cstheme="majorBidi"/>
      <w:spacing w:val="-10"/>
      <w:kern w:val="28"/>
      <w:sz w:val="32"/>
      <w:szCs w:val="56"/>
    </w:rPr>
  </w:style>
  <w:style w:type="character" w:customStyle="1" w:styleId="TitleChar">
    <w:name w:val="Title Char"/>
    <w:basedOn w:val="DefaultParagraphFont"/>
    <w:link w:val="Title"/>
    <w:rsid w:val="008A3EBC"/>
    <w:rPr>
      <w:rFonts w:eastAsiaTheme="majorEastAsia" w:cstheme="majorBidi"/>
      <w:spacing w:val="-10"/>
      <w:kern w:val="28"/>
      <w:sz w:val="32"/>
      <w:szCs w:val="56"/>
    </w:rPr>
  </w:style>
  <w:style w:type="paragraph" w:styleId="ListParagraph">
    <w:name w:val="List Paragraph"/>
    <w:aliases w:val="List Paragraph1,Recommendation,L,List Paragraph11,Bulleted Para,NFP GP Bulleted List,List Paragraph2,FooterText,numbered,Paragraphe de liste1,Bulletr List Paragraph,列出段落,列出段落1,List Paragraph21,Listeafsnit1,Parágrafo da Lista1,リスト段落1,CV t"/>
    <w:basedOn w:val="Normal"/>
    <w:link w:val="ListParagraphChar"/>
    <w:uiPriority w:val="34"/>
    <w:qFormat/>
    <w:rsid w:val="004B73EA"/>
    <w:pPr>
      <w:spacing w:before="60" w:after="60"/>
    </w:pPr>
  </w:style>
  <w:style w:type="character" w:customStyle="1" w:styleId="ListParagraphChar">
    <w:name w:val="List Paragraph Char"/>
    <w:aliases w:val="List Paragraph1 Char,Recommendation Char,L Char,List Paragraph11 Char,Bulleted Para Char,NFP GP Bulleted List Char,List Paragraph2 Char,FooterText Char,numbered Char,Paragraphe de liste1 Char,Bulletr List Paragraph Char,列出段落 Char"/>
    <w:link w:val="ListParagraph"/>
    <w:uiPriority w:val="34"/>
    <w:qFormat/>
    <w:locked/>
    <w:rsid w:val="004B73EA"/>
    <w:rPr>
      <w:sz w:val="22"/>
    </w:rPr>
  </w:style>
  <w:style w:type="paragraph" w:styleId="TableofFigures">
    <w:name w:val="table of figures"/>
    <w:basedOn w:val="Normal"/>
    <w:next w:val="Normal"/>
    <w:uiPriority w:val="99"/>
    <w:unhideWhenUsed/>
    <w:rsid w:val="0014710A"/>
    <w:pPr>
      <w:spacing w:before="0" w:after="0"/>
      <w:ind w:left="442" w:hanging="442"/>
    </w:pPr>
    <w:rPr>
      <w:rFonts w:cstheme="minorHAnsi"/>
      <w:bCs/>
      <w:szCs w:val="20"/>
    </w:rPr>
  </w:style>
  <w:style w:type="character" w:customStyle="1" w:styleId="Heading4Char">
    <w:name w:val="Heading 4 Char"/>
    <w:basedOn w:val="DefaultParagraphFont"/>
    <w:link w:val="Heading4"/>
    <w:uiPriority w:val="9"/>
    <w:rsid w:val="00EA1EE2"/>
    <w:rPr>
      <w:rFonts w:eastAsiaTheme="majorEastAsia" w:cstheme="majorBidi"/>
      <w:b/>
      <w:i/>
      <w:iCs/>
      <w:color w:val="0F4761" w:themeColor="accent1" w:themeShade="BF"/>
      <w:sz w:val="22"/>
    </w:rPr>
  </w:style>
  <w:style w:type="character" w:customStyle="1" w:styleId="Heading3Char">
    <w:name w:val="Heading 3 Char"/>
    <w:basedOn w:val="DefaultParagraphFont"/>
    <w:link w:val="Heading3"/>
    <w:uiPriority w:val="9"/>
    <w:rsid w:val="004F50F2"/>
    <w:rPr>
      <w:rFonts w:eastAsiaTheme="majorEastAsia" w:cstheme="majorBidi"/>
      <w:b/>
      <w:i/>
      <w:color w:val="0A2F40" w:themeColor="accent1" w:themeShade="7F"/>
      <w:sz w:val="22"/>
    </w:rPr>
  </w:style>
  <w:style w:type="character" w:customStyle="1" w:styleId="Heading2Char">
    <w:name w:val="Heading 2 Char"/>
    <w:basedOn w:val="DefaultParagraphFont"/>
    <w:link w:val="Heading2"/>
    <w:uiPriority w:val="9"/>
    <w:rsid w:val="001313CC"/>
    <w:rPr>
      <w:rFonts w:eastAsiaTheme="majorEastAsia" w:cstheme="majorBidi"/>
      <w:b/>
      <w:color w:val="0F4761" w:themeColor="accent1" w:themeShade="BF"/>
      <w:szCs w:val="26"/>
    </w:rPr>
  </w:style>
  <w:style w:type="paragraph" w:styleId="TOC1">
    <w:name w:val="toc 1"/>
    <w:basedOn w:val="Normal"/>
    <w:next w:val="Normal"/>
    <w:autoRedefine/>
    <w:uiPriority w:val="39"/>
    <w:unhideWhenUsed/>
    <w:rsid w:val="000E5C10"/>
    <w:pPr>
      <w:spacing w:before="0" w:after="0"/>
    </w:pPr>
    <w:rPr>
      <w:bCs/>
      <w:sz w:val="20"/>
      <w:szCs w:val="20"/>
    </w:rPr>
  </w:style>
  <w:style w:type="paragraph" w:styleId="TOC3">
    <w:name w:val="toc 3"/>
    <w:basedOn w:val="Normal"/>
    <w:next w:val="Normal"/>
    <w:autoRedefine/>
    <w:uiPriority w:val="39"/>
    <w:unhideWhenUsed/>
    <w:qFormat/>
    <w:rsid w:val="002D718E"/>
    <w:pPr>
      <w:spacing w:before="0" w:after="0"/>
      <w:ind w:left="440"/>
    </w:pPr>
    <w:rPr>
      <w:sz w:val="20"/>
      <w:szCs w:val="20"/>
    </w:rPr>
  </w:style>
  <w:style w:type="paragraph" w:styleId="TOC2">
    <w:name w:val="toc 2"/>
    <w:basedOn w:val="Normal"/>
    <w:next w:val="Normal"/>
    <w:autoRedefine/>
    <w:uiPriority w:val="39"/>
    <w:unhideWhenUsed/>
    <w:rsid w:val="002B5216"/>
    <w:pPr>
      <w:spacing w:after="0"/>
      <w:ind w:left="220"/>
    </w:pPr>
    <w:rPr>
      <w:i/>
      <w:iCs/>
      <w:sz w:val="20"/>
      <w:szCs w:val="20"/>
    </w:rPr>
  </w:style>
  <w:style w:type="paragraph" w:styleId="Quote">
    <w:name w:val="Quote"/>
    <w:basedOn w:val="Normal"/>
    <w:next w:val="Normal"/>
    <w:link w:val="QuoteChar"/>
    <w:uiPriority w:val="29"/>
    <w:qFormat/>
    <w:rsid w:val="002D718E"/>
    <w:pPr>
      <w:ind w:left="432" w:right="432"/>
    </w:pPr>
    <w:rPr>
      <w:rFonts w:eastAsia="Times New Roman" w:cs="Times New Roman"/>
      <w:iCs/>
      <w:color w:val="404040" w:themeColor="text1" w:themeTint="BF"/>
      <w:kern w:val="0"/>
      <w:lang w:eastAsia="en-GB"/>
      <w14:ligatures w14:val="none"/>
    </w:rPr>
  </w:style>
  <w:style w:type="character" w:customStyle="1" w:styleId="QuoteChar">
    <w:name w:val="Quote Char"/>
    <w:basedOn w:val="DefaultParagraphFont"/>
    <w:link w:val="Quote"/>
    <w:uiPriority w:val="29"/>
    <w:rsid w:val="002D718E"/>
    <w:rPr>
      <w:rFonts w:eastAsia="Times New Roman" w:cs="Times New Roman"/>
      <w:iCs/>
      <w:color w:val="404040" w:themeColor="text1" w:themeTint="BF"/>
      <w:kern w:val="0"/>
      <w:sz w:val="20"/>
      <w:lang w:eastAsia="en-GB"/>
      <w14:ligatures w14:val="none"/>
    </w:rPr>
  </w:style>
  <w:style w:type="character" w:customStyle="1" w:styleId="Heading5Char">
    <w:name w:val="Heading 5 Char"/>
    <w:basedOn w:val="DefaultParagraphFont"/>
    <w:link w:val="Heading5"/>
    <w:uiPriority w:val="9"/>
    <w:semiHidden/>
    <w:rsid w:val="00D052A3"/>
    <w:rPr>
      <w:rFonts w:eastAsiaTheme="majorEastAsia" w:cstheme="majorBidi"/>
      <w:color w:val="0F4761" w:themeColor="accent1" w:themeShade="BF"/>
      <w:sz w:val="22"/>
    </w:rPr>
  </w:style>
  <w:style w:type="character" w:customStyle="1" w:styleId="Heading6Char">
    <w:name w:val="Heading 6 Char"/>
    <w:basedOn w:val="DefaultParagraphFont"/>
    <w:link w:val="Heading6"/>
    <w:uiPriority w:val="9"/>
    <w:semiHidden/>
    <w:rsid w:val="00D052A3"/>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D052A3"/>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D052A3"/>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D052A3"/>
    <w:rPr>
      <w:rFonts w:eastAsiaTheme="majorEastAsia" w:cstheme="majorBidi"/>
      <w:color w:val="272727" w:themeColor="text1" w:themeTint="D8"/>
      <w:sz w:val="22"/>
    </w:rPr>
  </w:style>
  <w:style w:type="paragraph" w:styleId="Subtitle">
    <w:name w:val="Subtitle"/>
    <w:basedOn w:val="Normal"/>
    <w:next w:val="Normal"/>
    <w:link w:val="SubtitleChar"/>
    <w:uiPriority w:val="11"/>
    <w:qFormat/>
    <w:rsid w:val="00D052A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52A3"/>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sid w:val="00D052A3"/>
    <w:rPr>
      <w:i/>
      <w:iCs/>
      <w:color w:val="0F4761" w:themeColor="accent1" w:themeShade="BF"/>
    </w:rPr>
  </w:style>
  <w:style w:type="paragraph" w:styleId="IntenseQuote">
    <w:name w:val="Intense Quote"/>
    <w:basedOn w:val="Normal"/>
    <w:next w:val="Normal"/>
    <w:link w:val="IntenseQuoteChar"/>
    <w:uiPriority w:val="30"/>
    <w:qFormat/>
    <w:rsid w:val="00D052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52A3"/>
    <w:rPr>
      <w:i/>
      <w:iCs/>
      <w:color w:val="0F4761" w:themeColor="accent1" w:themeShade="BF"/>
      <w:sz w:val="22"/>
    </w:rPr>
  </w:style>
  <w:style w:type="character" w:styleId="IntenseReference">
    <w:name w:val="Intense Reference"/>
    <w:basedOn w:val="DefaultParagraphFont"/>
    <w:uiPriority w:val="32"/>
    <w:qFormat/>
    <w:rsid w:val="00D052A3"/>
    <w:rPr>
      <w:b/>
      <w:bCs/>
      <w:smallCaps/>
      <w:color w:val="0F4761" w:themeColor="accent1" w:themeShade="BF"/>
      <w:spacing w:val="5"/>
    </w:rPr>
  </w:style>
  <w:style w:type="character" w:styleId="Hyperlink">
    <w:name w:val="Hyperlink"/>
    <w:basedOn w:val="DefaultParagraphFont"/>
    <w:uiPriority w:val="99"/>
    <w:unhideWhenUsed/>
    <w:rsid w:val="00D052A3"/>
    <w:rPr>
      <w:color w:val="0000FF"/>
      <w:u w:val="single"/>
    </w:rPr>
  </w:style>
  <w:style w:type="paragraph" w:styleId="TOC4">
    <w:name w:val="toc 4"/>
    <w:basedOn w:val="Normal"/>
    <w:next w:val="Normal"/>
    <w:autoRedefine/>
    <w:uiPriority w:val="39"/>
    <w:unhideWhenUsed/>
    <w:rsid w:val="0005498F"/>
    <w:pPr>
      <w:spacing w:before="0" w:after="0"/>
      <w:ind w:left="660"/>
    </w:pPr>
    <w:rPr>
      <w:sz w:val="20"/>
      <w:szCs w:val="20"/>
    </w:rPr>
  </w:style>
  <w:style w:type="paragraph" w:styleId="TOC5">
    <w:name w:val="toc 5"/>
    <w:basedOn w:val="Normal"/>
    <w:next w:val="Normal"/>
    <w:autoRedefine/>
    <w:uiPriority w:val="39"/>
    <w:unhideWhenUsed/>
    <w:rsid w:val="0005498F"/>
    <w:pPr>
      <w:spacing w:before="0" w:after="0"/>
      <w:ind w:left="880"/>
    </w:pPr>
    <w:rPr>
      <w:sz w:val="20"/>
      <w:szCs w:val="20"/>
    </w:rPr>
  </w:style>
  <w:style w:type="paragraph" w:styleId="TOC6">
    <w:name w:val="toc 6"/>
    <w:basedOn w:val="Normal"/>
    <w:next w:val="Normal"/>
    <w:autoRedefine/>
    <w:uiPriority w:val="39"/>
    <w:unhideWhenUsed/>
    <w:rsid w:val="0005498F"/>
    <w:pPr>
      <w:spacing w:before="0" w:after="0"/>
      <w:ind w:left="1100"/>
    </w:pPr>
    <w:rPr>
      <w:sz w:val="20"/>
      <w:szCs w:val="20"/>
    </w:rPr>
  </w:style>
  <w:style w:type="paragraph" w:styleId="TOC7">
    <w:name w:val="toc 7"/>
    <w:basedOn w:val="Normal"/>
    <w:next w:val="Normal"/>
    <w:autoRedefine/>
    <w:uiPriority w:val="39"/>
    <w:unhideWhenUsed/>
    <w:rsid w:val="0005498F"/>
    <w:pPr>
      <w:spacing w:before="0" w:after="0"/>
      <w:ind w:left="1320"/>
    </w:pPr>
    <w:rPr>
      <w:sz w:val="20"/>
      <w:szCs w:val="20"/>
    </w:rPr>
  </w:style>
  <w:style w:type="paragraph" w:styleId="TOC8">
    <w:name w:val="toc 8"/>
    <w:basedOn w:val="Normal"/>
    <w:next w:val="Normal"/>
    <w:autoRedefine/>
    <w:uiPriority w:val="39"/>
    <w:unhideWhenUsed/>
    <w:rsid w:val="0005498F"/>
    <w:pPr>
      <w:spacing w:before="0" w:after="0"/>
      <w:ind w:left="1540"/>
    </w:pPr>
    <w:rPr>
      <w:sz w:val="20"/>
      <w:szCs w:val="20"/>
    </w:rPr>
  </w:style>
  <w:style w:type="paragraph" w:styleId="TOC9">
    <w:name w:val="toc 9"/>
    <w:basedOn w:val="Normal"/>
    <w:next w:val="Normal"/>
    <w:autoRedefine/>
    <w:uiPriority w:val="39"/>
    <w:unhideWhenUsed/>
    <w:rsid w:val="0005498F"/>
    <w:pPr>
      <w:spacing w:before="0" w:after="0"/>
      <w:ind w:left="1760"/>
    </w:pPr>
    <w:rPr>
      <w:sz w:val="20"/>
      <w:szCs w:val="20"/>
    </w:rPr>
  </w:style>
  <w:style w:type="paragraph" w:styleId="Footer">
    <w:name w:val="footer"/>
    <w:basedOn w:val="Normal"/>
    <w:link w:val="FooterChar"/>
    <w:uiPriority w:val="99"/>
    <w:unhideWhenUsed/>
    <w:rsid w:val="00AD085B"/>
    <w:pPr>
      <w:tabs>
        <w:tab w:val="center" w:pos="4513"/>
        <w:tab w:val="right" w:pos="9026"/>
      </w:tabs>
      <w:spacing w:before="0" w:after="0"/>
    </w:pPr>
  </w:style>
  <w:style w:type="character" w:customStyle="1" w:styleId="FooterChar">
    <w:name w:val="Footer Char"/>
    <w:basedOn w:val="DefaultParagraphFont"/>
    <w:link w:val="Footer"/>
    <w:uiPriority w:val="99"/>
    <w:rsid w:val="00AD085B"/>
    <w:rPr>
      <w:sz w:val="22"/>
    </w:rPr>
  </w:style>
  <w:style w:type="character" w:styleId="PageNumber">
    <w:name w:val="page number"/>
    <w:basedOn w:val="DefaultParagraphFont"/>
    <w:uiPriority w:val="99"/>
    <w:semiHidden/>
    <w:unhideWhenUsed/>
    <w:rsid w:val="00AD085B"/>
  </w:style>
  <w:style w:type="character" w:styleId="FollowedHyperlink">
    <w:name w:val="FollowedHyperlink"/>
    <w:basedOn w:val="DefaultParagraphFont"/>
    <w:uiPriority w:val="99"/>
    <w:semiHidden/>
    <w:unhideWhenUsed/>
    <w:rsid w:val="00975BDA"/>
    <w:rPr>
      <w:color w:val="96607D" w:themeColor="followedHyperlink"/>
      <w:u w:val="single"/>
    </w:rPr>
  </w:style>
  <w:style w:type="paragraph" w:styleId="FootnoteText">
    <w:name w:val="footnote text"/>
    <w:basedOn w:val="Normal"/>
    <w:link w:val="FootnoteTextChar"/>
    <w:uiPriority w:val="99"/>
    <w:semiHidden/>
    <w:unhideWhenUsed/>
    <w:rsid w:val="008118D2"/>
    <w:pPr>
      <w:spacing w:before="0" w:after="0"/>
    </w:pPr>
    <w:rPr>
      <w:sz w:val="20"/>
      <w:szCs w:val="20"/>
    </w:rPr>
  </w:style>
  <w:style w:type="character" w:customStyle="1" w:styleId="FootnoteTextChar">
    <w:name w:val="Footnote Text Char"/>
    <w:basedOn w:val="DefaultParagraphFont"/>
    <w:link w:val="FootnoteText"/>
    <w:uiPriority w:val="99"/>
    <w:semiHidden/>
    <w:rsid w:val="008118D2"/>
    <w:rPr>
      <w:sz w:val="20"/>
      <w:szCs w:val="20"/>
    </w:rPr>
  </w:style>
  <w:style w:type="character" w:styleId="FootnoteReference">
    <w:name w:val="footnote reference"/>
    <w:basedOn w:val="DefaultParagraphFont"/>
    <w:uiPriority w:val="99"/>
    <w:semiHidden/>
    <w:unhideWhenUsed/>
    <w:rsid w:val="008118D2"/>
    <w:rPr>
      <w:vertAlign w:val="superscript"/>
    </w:rPr>
  </w:style>
  <w:style w:type="table" w:styleId="TableGrid">
    <w:name w:val="Table Grid"/>
    <w:basedOn w:val="TableNormal"/>
    <w:uiPriority w:val="39"/>
    <w:rsid w:val="00F83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C5F2A"/>
    <w:rPr>
      <w:color w:val="605E5C"/>
      <w:shd w:val="clear" w:color="auto" w:fill="E1DFDD"/>
    </w:rPr>
  </w:style>
  <w:style w:type="paragraph" w:styleId="Header">
    <w:name w:val="header"/>
    <w:basedOn w:val="Normal"/>
    <w:link w:val="HeaderChar"/>
    <w:uiPriority w:val="99"/>
    <w:unhideWhenUsed/>
    <w:rsid w:val="00776766"/>
    <w:pPr>
      <w:tabs>
        <w:tab w:val="center" w:pos="4513"/>
        <w:tab w:val="right" w:pos="9026"/>
      </w:tabs>
      <w:spacing w:before="0" w:after="0"/>
    </w:pPr>
  </w:style>
  <w:style w:type="character" w:customStyle="1" w:styleId="HeaderChar">
    <w:name w:val="Header Char"/>
    <w:basedOn w:val="DefaultParagraphFont"/>
    <w:link w:val="Header"/>
    <w:uiPriority w:val="99"/>
    <w:rsid w:val="0077676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data-explorer.oecd.org/vis?fs%5b0%5d=Topic%2C0%7CInnovation%20and%20technology%23INT%23&amp;pg=0&amp;fc=Topic&amp;bp=true&amp;snb=14&amp;vw=tb&amp;df%5bds%5d=dsDisseminateFinalDMZ&amp;df%5bid%5d=DSD_MSTI%40DF_MSTI&amp;df%5bag%5d=OECD.STI.STP&amp;df%5bvs%5d=1.1&amp;pd=%2C&amp;dq=USA%2BOECD%2BEU27_2020%2BGBR%2BKOR%2BJPN%2BISR%2BDEU%2BCAN%2BAUS.A.GV%2BH%2BG_FG%2BG_FB%2BB%2BG.PT_B1GQ..&amp;ly%5brw%5d=REF_AREA&amp;ly%5bcl%5d=TIME_PERIOD&amp;ly%5brs%5d=MEASURE&amp;to%5bTIME_PERIOD%5d=fals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s://data-explorer.oecd.org/vis?fs%5b0%5d=Topic%2C0%7CInnovation%20and%20technology%23INT%23&amp;pg=0&amp;fc=Topic&amp;bp=true&amp;snb=14&amp;vw=tb&amp;df%5bds%5d=dsDisseminateFinalDMZ&amp;df%5bid%5d=DSD_MSTI%40DF_MSTI&amp;df%5bag%5d=OECD.STI.STP&amp;df%5bvs%5d=1.1&amp;pd=%2C&amp;dq=USA%2BOECD%2BEU27_2020%2BGBR%2BKOR%2BJPN%2BISR%2BDEU%2BCAN%2BAUS.A.GV%2BH%2BG_FG%2BG_FB%2BB%2BG.PT_B1GQ..&amp;ly%5brw%5d=REF_AREA&amp;ly%5bcl%5d=TIME_PERIOD&amp;ly%5brs%5d=MEASURE&amp;to%5bTIME_PERIOD%5d=false" TargetMode="Externa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explorer.oecd.org/vis?fs%5b0%5d=Topic%2C0%7CInnovation%20and%20technology%23INT%23&amp;pg=0&amp;fc=Topic&amp;bp=true&amp;snb=14&amp;vw=tb&amp;df%5bds%5d=dsDisseminateFinalDMZ&amp;df%5bid%5d=DSD_MSTI%40DF_MSTI&amp;df%5bag%5d=OECD.STI.STP&amp;df%5bvs%5d=1.1&amp;pd=%2C&amp;dq=USA%2BOECD%2BEU27_2020%2BGBR%2BKOR%2BJPN%2BISR%2BDEU%2BCAN%2BAUS.A.GV%2BH%2BG_FG%2BG_FB%2BB%2BG.PT_B1GQ..&amp;ly%5brw%5d=REF_AREA&amp;ly%5bcl%5d=TIME_PERIOD&amp;ly%5brs%5d=MEASURE&amp;to%5bTIME_PERIOD%5d=false" TargetMode="External"/><Relationship Id="rId5" Type="http://schemas.openxmlformats.org/officeDocument/2006/relationships/webSettings" Target="webSettings.xml"/><Relationship Id="rId15" Type="http://schemas.openxmlformats.org/officeDocument/2006/relationships/hyperlink" Target="https://data-explorer.oecd.org/vis?fs%5b0%5d=Topic%2C0%7CInnovation%20and%20technology%23INT%23&amp;pg=0&amp;fc=Topic&amp;bp=true&amp;snb=14&amp;vw=tb&amp;df%5bds%5d=dsDisseminateFinalDMZ&amp;df%5bid%5d=DSD_MSTI%40DF_MSTI&amp;df%5bag%5d=OECD.STI.STP&amp;df%5bvs%5d=1.1&amp;pd=%2C&amp;dq=USA%2BOECD%2BEU27_2020%2BGBR%2BKOR%2BJPN%2BISR%2BDEU%2BCAN%2BAUS.A.GV%2BH%2BG_FG%2BG_FB%2BB%2BG.PT_B1GQ..&amp;ly%5brw%5d=REF_AREA&amp;ly%5bcl%5d=TIME_PERIOD&amp;ly%5brs%5d=MEASURE&amp;to%5bTIME_PERIOD%5d=false" TargetMode="Externa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ata-explorer.oecd.org/vis?fs%5b0%5d=Topic%2C0%7CInnovation%20and%20technology%23INT%23&amp;pg=0&amp;fc=Topic&amp;bp=true&amp;snb=14&amp;vw=tb&amp;df%5bds%5d=dsDisseminateFinalDMZ&amp;df%5bid%5d=DSD_MSTI%40DF_MSTI&amp;df%5bag%5d=OECD.STI.STP&amp;df%5bvs%5d=1.1&amp;pd=%2C&amp;dq=USA%2BOECD%2BEU27_2020%2BGBR%2BKOR%2BJPN%2BISR%2BDEU%2BCAN%2BAUS.A.GV%2BH%2BG_FG%2BG_FB%2BB%2BG.PT_B1GQ..&amp;ly%5brw%5d=REF_AREA&amp;ly%5bcl%5d=TIME_PERIOD&amp;ly%5brs%5d=MEASURE&amp;to%5bTIME_PERIOD%5d=false" TargetMode="External"/><Relationship Id="rId14" Type="http://schemas.openxmlformats.org/officeDocument/2006/relationships/image" Target="media/image4.emf"/></Relationships>
</file>

<file path=word/_rels/footnotes.xml.rels><?xml version="1.0" encoding="UTF-8" standalone="yes"?>
<Relationships xmlns="http://schemas.openxmlformats.org/package/2006/relationships"><Relationship Id="rId1" Type="http://schemas.openxmlformats.org/officeDocument/2006/relationships/hyperlink" Target="https://www.rba.gov.au/speeches/2024/sp-ag-2024-04-0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7A896-0307-0143-BD45-C3B14BA34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1818</Words>
  <Characters>10366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 Howard</dc:creator>
  <cp:keywords/>
  <dc:description/>
  <cp:lastModifiedBy>John H Howard</cp:lastModifiedBy>
  <cp:revision>3</cp:revision>
  <cp:lastPrinted>2024-04-09T04:42:00Z</cp:lastPrinted>
  <dcterms:created xsi:type="dcterms:W3CDTF">2024-04-08T19:59:00Z</dcterms:created>
  <dcterms:modified xsi:type="dcterms:W3CDTF">2024-04-09T06:14:00Z</dcterms:modified>
</cp:coreProperties>
</file>