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FB15" w14:textId="704D7491" w:rsidR="00857E77" w:rsidRPr="00B90C1E" w:rsidRDefault="00B90C1E" w:rsidP="00F405B6">
      <w:pPr>
        <w:pStyle w:val="Title"/>
        <w:spacing w:before="60" w:after="60"/>
        <w:rPr>
          <w:rFonts w:asciiTheme="majorHAnsi" w:hAnsiTheme="majorHAnsi"/>
          <w:szCs w:val="32"/>
        </w:rPr>
      </w:pPr>
      <w:r w:rsidRPr="00B90C1E">
        <w:rPr>
          <w:rFonts w:asciiTheme="majorHAnsi" w:hAnsiTheme="majorHAnsi"/>
          <w:szCs w:val="32"/>
        </w:rPr>
        <w:t>Towards 3%:Turbocharging Australia's Innovation Effort</w:t>
      </w:r>
      <w:r w:rsidR="00857DF5">
        <w:rPr>
          <w:rFonts w:asciiTheme="majorHAnsi" w:hAnsiTheme="majorHAnsi"/>
          <w:szCs w:val="32"/>
        </w:rPr>
        <w:t xml:space="preserve">: </w:t>
      </w:r>
    </w:p>
    <w:p w14:paraId="1E0EBD99" w14:textId="6ACA9FD3" w:rsidR="00745B80" w:rsidRPr="00B90C1E" w:rsidRDefault="00857E77" w:rsidP="00F405B6">
      <w:pPr>
        <w:pStyle w:val="Title"/>
        <w:spacing w:before="60" w:after="60"/>
        <w:rPr>
          <w:rFonts w:asciiTheme="majorHAnsi" w:hAnsiTheme="majorHAnsi"/>
          <w:szCs w:val="32"/>
          <w:lang w:eastAsia="en-GB"/>
        </w:rPr>
      </w:pPr>
      <w:r w:rsidRPr="00B90C1E">
        <w:rPr>
          <w:rFonts w:asciiTheme="majorHAnsi" w:hAnsiTheme="majorHAnsi"/>
          <w:szCs w:val="32"/>
          <w:lang w:eastAsia="en-GB"/>
        </w:rPr>
        <w:t xml:space="preserve">Paper 2: </w:t>
      </w:r>
      <w:r w:rsidR="00745B80" w:rsidRPr="00B90C1E">
        <w:rPr>
          <w:rFonts w:asciiTheme="majorHAnsi" w:hAnsiTheme="majorHAnsi"/>
          <w:szCs w:val="32"/>
          <w:lang w:eastAsia="en-GB"/>
        </w:rPr>
        <w:t>Why business expenditure on R&amp;D has collapsed</w:t>
      </w:r>
    </w:p>
    <w:p w14:paraId="3FEBF95B" w14:textId="77777777" w:rsidR="00F405B6" w:rsidRDefault="00F405B6" w:rsidP="00F405B6">
      <w:pPr>
        <w:spacing w:before="60" w:after="60"/>
        <w:jc w:val="center"/>
        <w:rPr>
          <w:lang w:eastAsia="en-GB"/>
        </w:rPr>
      </w:pPr>
      <w:r>
        <w:rPr>
          <w:lang w:eastAsia="en-GB"/>
        </w:rPr>
        <w:t>Dr John H Howard</w:t>
      </w:r>
    </w:p>
    <w:p w14:paraId="5AC9F68B" w14:textId="77777777" w:rsidR="00F405B6" w:rsidRDefault="00F405B6" w:rsidP="00F405B6">
      <w:pPr>
        <w:spacing w:before="60" w:after="60"/>
        <w:jc w:val="center"/>
        <w:rPr>
          <w:lang w:eastAsia="en-GB"/>
        </w:rPr>
      </w:pPr>
      <w:r>
        <w:rPr>
          <w:lang w:eastAsia="en-GB"/>
        </w:rPr>
        <w:t>Acton Institute for Policy Research and Innovation</w:t>
      </w:r>
    </w:p>
    <w:p w14:paraId="1A470260" w14:textId="57A4AEEA" w:rsidR="007E1A12" w:rsidRDefault="007E1A12" w:rsidP="00F405B6">
      <w:pPr>
        <w:spacing w:before="60" w:after="60"/>
        <w:jc w:val="center"/>
        <w:rPr>
          <w:lang w:eastAsia="en-GB"/>
        </w:rPr>
      </w:pPr>
      <w:r>
        <w:rPr>
          <w:lang w:eastAsia="en-GB"/>
        </w:rPr>
        <w:t>Visiting Professor, University of Technology Sydney</w:t>
      </w:r>
    </w:p>
    <w:p w14:paraId="58D7ADCE" w14:textId="77777777" w:rsidR="007E1A12" w:rsidRDefault="007E1A12" w:rsidP="00F405B6">
      <w:pPr>
        <w:spacing w:before="60" w:after="60"/>
        <w:jc w:val="center"/>
        <w:rPr>
          <w:lang w:eastAsia="en-GB"/>
        </w:rPr>
      </w:pPr>
    </w:p>
    <w:p w14:paraId="4D26552B" w14:textId="4E20BA5E" w:rsidR="00563384" w:rsidRDefault="007E1A12">
      <w:pPr>
        <w:pStyle w:val="TOC1"/>
        <w:rPr>
          <w:rFonts w:eastAsiaTheme="minorEastAsia"/>
          <w:b w:val="0"/>
          <w:bCs w:val="0"/>
          <w:noProof/>
          <w:sz w:val="24"/>
          <w:szCs w:val="24"/>
          <w:lang w:eastAsia="en-GB"/>
        </w:rPr>
      </w:pPr>
      <w:r>
        <w:rPr>
          <w:lang w:eastAsia="en-GB"/>
        </w:rPr>
        <w:fldChar w:fldCharType="begin"/>
      </w:r>
      <w:r>
        <w:rPr>
          <w:lang w:eastAsia="en-GB"/>
        </w:rPr>
        <w:instrText xml:space="preserve"> TOC \o "1-3" \h \z \u </w:instrText>
      </w:r>
      <w:r>
        <w:rPr>
          <w:lang w:eastAsia="en-GB"/>
        </w:rPr>
        <w:fldChar w:fldCharType="separate"/>
      </w:r>
      <w:hyperlink w:anchor="_Toc163563829" w:history="1">
        <w:r w:rsidR="00563384" w:rsidRPr="00736E55">
          <w:rPr>
            <w:rStyle w:val="Hyperlink"/>
            <w:noProof/>
            <w:lang w:eastAsia="en-GB"/>
          </w:rPr>
          <w:t>What the data tells us</w:t>
        </w:r>
        <w:r w:rsidR="00563384">
          <w:rPr>
            <w:noProof/>
            <w:webHidden/>
          </w:rPr>
          <w:tab/>
        </w:r>
        <w:r w:rsidR="00563384">
          <w:rPr>
            <w:noProof/>
            <w:webHidden/>
          </w:rPr>
          <w:fldChar w:fldCharType="begin"/>
        </w:r>
        <w:r w:rsidR="00563384">
          <w:rPr>
            <w:noProof/>
            <w:webHidden/>
          </w:rPr>
          <w:instrText xml:space="preserve"> PAGEREF _Toc163563829 \h </w:instrText>
        </w:r>
        <w:r w:rsidR="00563384">
          <w:rPr>
            <w:noProof/>
            <w:webHidden/>
          </w:rPr>
        </w:r>
        <w:r w:rsidR="00563384">
          <w:rPr>
            <w:noProof/>
            <w:webHidden/>
          </w:rPr>
          <w:fldChar w:fldCharType="separate"/>
        </w:r>
        <w:r w:rsidR="0001219A">
          <w:rPr>
            <w:noProof/>
            <w:webHidden/>
          </w:rPr>
          <w:t>1</w:t>
        </w:r>
        <w:r w:rsidR="00563384">
          <w:rPr>
            <w:noProof/>
            <w:webHidden/>
          </w:rPr>
          <w:fldChar w:fldCharType="end"/>
        </w:r>
      </w:hyperlink>
    </w:p>
    <w:p w14:paraId="529E2C16" w14:textId="3DAFB398" w:rsidR="00563384" w:rsidRDefault="00563FB7">
      <w:pPr>
        <w:pStyle w:val="TOC1"/>
        <w:rPr>
          <w:rFonts w:eastAsiaTheme="minorEastAsia"/>
          <w:b w:val="0"/>
          <w:bCs w:val="0"/>
          <w:noProof/>
          <w:sz w:val="24"/>
          <w:szCs w:val="24"/>
          <w:lang w:eastAsia="en-GB"/>
        </w:rPr>
      </w:pPr>
      <w:hyperlink w:anchor="_Toc163563830" w:history="1">
        <w:r w:rsidR="00563384" w:rsidRPr="00736E55">
          <w:rPr>
            <w:rStyle w:val="Hyperlink"/>
            <w:noProof/>
            <w:lang w:eastAsia="en-GB"/>
          </w:rPr>
          <w:t>Beyond the data: what’s really going on</w:t>
        </w:r>
        <w:r w:rsidR="00563384">
          <w:rPr>
            <w:noProof/>
            <w:webHidden/>
          </w:rPr>
          <w:tab/>
        </w:r>
        <w:r w:rsidR="00563384">
          <w:rPr>
            <w:noProof/>
            <w:webHidden/>
          </w:rPr>
          <w:fldChar w:fldCharType="begin"/>
        </w:r>
        <w:r w:rsidR="00563384">
          <w:rPr>
            <w:noProof/>
            <w:webHidden/>
          </w:rPr>
          <w:instrText xml:space="preserve"> PAGEREF _Toc163563830 \h </w:instrText>
        </w:r>
        <w:r w:rsidR="00563384">
          <w:rPr>
            <w:noProof/>
            <w:webHidden/>
          </w:rPr>
        </w:r>
        <w:r w:rsidR="00563384">
          <w:rPr>
            <w:noProof/>
            <w:webHidden/>
          </w:rPr>
          <w:fldChar w:fldCharType="separate"/>
        </w:r>
        <w:r w:rsidR="0001219A">
          <w:rPr>
            <w:noProof/>
            <w:webHidden/>
          </w:rPr>
          <w:t>2</w:t>
        </w:r>
        <w:r w:rsidR="00563384">
          <w:rPr>
            <w:noProof/>
            <w:webHidden/>
          </w:rPr>
          <w:fldChar w:fldCharType="end"/>
        </w:r>
      </w:hyperlink>
    </w:p>
    <w:p w14:paraId="190E1D30" w14:textId="75880788" w:rsidR="00563384" w:rsidRDefault="00563FB7">
      <w:pPr>
        <w:pStyle w:val="TOC2"/>
        <w:tabs>
          <w:tab w:val="right" w:leader="dot" w:pos="9011"/>
        </w:tabs>
        <w:rPr>
          <w:rFonts w:eastAsiaTheme="minorEastAsia"/>
          <w:i w:val="0"/>
          <w:iCs w:val="0"/>
          <w:noProof/>
          <w:sz w:val="24"/>
          <w:szCs w:val="24"/>
          <w:lang w:eastAsia="en-GB"/>
        </w:rPr>
      </w:pPr>
      <w:hyperlink w:anchor="_Toc163563831" w:history="1">
        <w:r w:rsidR="00563384" w:rsidRPr="00736E55">
          <w:rPr>
            <w:rStyle w:val="Hyperlink"/>
            <w:noProof/>
            <w:lang w:eastAsia="en-GB"/>
          </w:rPr>
          <w:t xml:space="preserve">The </w:t>
        </w:r>
        <w:r w:rsidR="00563384" w:rsidRPr="00736E55">
          <w:rPr>
            <w:rStyle w:val="Hyperlink"/>
            <w:noProof/>
          </w:rPr>
          <w:t>imbalance</w:t>
        </w:r>
        <w:r w:rsidR="00563384" w:rsidRPr="00736E55">
          <w:rPr>
            <w:rStyle w:val="Hyperlink"/>
            <w:noProof/>
            <w:lang w:eastAsia="en-GB"/>
          </w:rPr>
          <w:t xml:space="preserve"> in the Australian industrial structure</w:t>
        </w:r>
        <w:r w:rsidR="00563384">
          <w:rPr>
            <w:noProof/>
            <w:webHidden/>
          </w:rPr>
          <w:tab/>
        </w:r>
        <w:r w:rsidR="00563384">
          <w:rPr>
            <w:noProof/>
            <w:webHidden/>
          </w:rPr>
          <w:fldChar w:fldCharType="begin"/>
        </w:r>
        <w:r w:rsidR="00563384">
          <w:rPr>
            <w:noProof/>
            <w:webHidden/>
          </w:rPr>
          <w:instrText xml:space="preserve"> PAGEREF _Toc163563831 \h </w:instrText>
        </w:r>
        <w:r w:rsidR="00563384">
          <w:rPr>
            <w:noProof/>
            <w:webHidden/>
          </w:rPr>
        </w:r>
        <w:r w:rsidR="00563384">
          <w:rPr>
            <w:noProof/>
            <w:webHidden/>
          </w:rPr>
          <w:fldChar w:fldCharType="separate"/>
        </w:r>
        <w:r w:rsidR="0001219A">
          <w:rPr>
            <w:noProof/>
            <w:webHidden/>
          </w:rPr>
          <w:t>2</w:t>
        </w:r>
        <w:r w:rsidR="00563384">
          <w:rPr>
            <w:noProof/>
            <w:webHidden/>
          </w:rPr>
          <w:fldChar w:fldCharType="end"/>
        </w:r>
      </w:hyperlink>
    </w:p>
    <w:p w14:paraId="4D828212" w14:textId="5510D78B" w:rsidR="00563384" w:rsidRDefault="00563FB7">
      <w:pPr>
        <w:pStyle w:val="TOC2"/>
        <w:tabs>
          <w:tab w:val="right" w:leader="dot" w:pos="9011"/>
        </w:tabs>
        <w:rPr>
          <w:rFonts w:eastAsiaTheme="minorEastAsia"/>
          <w:i w:val="0"/>
          <w:iCs w:val="0"/>
          <w:noProof/>
          <w:sz w:val="24"/>
          <w:szCs w:val="24"/>
          <w:lang w:eastAsia="en-GB"/>
        </w:rPr>
      </w:pPr>
      <w:hyperlink w:anchor="_Toc163563832" w:history="1">
        <w:r w:rsidR="00563384" w:rsidRPr="00736E55">
          <w:rPr>
            <w:rStyle w:val="Hyperlink"/>
            <w:noProof/>
            <w:lang w:eastAsia="en-GB"/>
          </w:rPr>
          <w:t xml:space="preserve">Falling </w:t>
        </w:r>
        <w:r w:rsidR="00563384" w:rsidRPr="00736E55">
          <w:rPr>
            <w:rStyle w:val="Hyperlink"/>
            <w:noProof/>
          </w:rPr>
          <w:t>Government</w:t>
        </w:r>
        <w:r w:rsidR="00563384" w:rsidRPr="00736E55">
          <w:rPr>
            <w:rStyle w:val="Hyperlink"/>
            <w:noProof/>
            <w:lang w:eastAsia="en-GB"/>
          </w:rPr>
          <w:t xml:space="preserve"> support for R&amp;D</w:t>
        </w:r>
        <w:r w:rsidR="00563384">
          <w:rPr>
            <w:noProof/>
            <w:webHidden/>
          </w:rPr>
          <w:tab/>
        </w:r>
        <w:r w:rsidR="00563384">
          <w:rPr>
            <w:noProof/>
            <w:webHidden/>
          </w:rPr>
          <w:fldChar w:fldCharType="begin"/>
        </w:r>
        <w:r w:rsidR="00563384">
          <w:rPr>
            <w:noProof/>
            <w:webHidden/>
          </w:rPr>
          <w:instrText xml:space="preserve"> PAGEREF _Toc163563832 \h </w:instrText>
        </w:r>
        <w:r w:rsidR="00563384">
          <w:rPr>
            <w:noProof/>
            <w:webHidden/>
          </w:rPr>
        </w:r>
        <w:r w:rsidR="00563384">
          <w:rPr>
            <w:noProof/>
            <w:webHidden/>
          </w:rPr>
          <w:fldChar w:fldCharType="separate"/>
        </w:r>
        <w:r w:rsidR="0001219A">
          <w:rPr>
            <w:noProof/>
            <w:webHidden/>
          </w:rPr>
          <w:t>3</w:t>
        </w:r>
        <w:r w:rsidR="00563384">
          <w:rPr>
            <w:noProof/>
            <w:webHidden/>
          </w:rPr>
          <w:fldChar w:fldCharType="end"/>
        </w:r>
      </w:hyperlink>
    </w:p>
    <w:p w14:paraId="22C4B8E5" w14:textId="1A0663EE" w:rsidR="00563384" w:rsidRDefault="00563FB7">
      <w:pPr>
        <w:pStyle w:val="TOC2"/>
        <w:tabs>
          <w:tab w:val="right" w:leader="dot" w:pos="9011"/>
        </w:tabs>
        <w:rPr>
          <w:rFonts w:eastAsiaTheme="minorEastAsia"/>
          <w:i w:val="0"/>
          <w:iCs w:val="0"/>
          <w:noProof/>
          <w:sz w:val="24"/>
          <w:szCs w:val="24"/>
          <w:lang w:eastAsia="en-GB"/>
        </w:rPr>
      </w:pPr>
      <w:hyperlink w:anchor="_Toc163563833" w:history="1">
        <w:r w:rsidR="00563384" w:rsidRPr="00736E55">
          <w:rPr>
            <w:rStyle w:val="Hyperlink"/>
            <w:noProof/>
            <w:lang w:eastAsia="en-GB"/>
          </w:rPr>
          <w:t>An unsupportive and unstable business investment climate</w:t>
        </w:r>
        <w:r w:rsidR="00563384">
          <w:rPr>
            <w:noProof/>
            <w:webHidden/>
          </w:rPr>
          <w:tab/>
        </w:r>
        <w:r w:rsidR="00563384">
          <w:rPr>
            <w:noProof/>
            <w:webHidden/>
          </w:rPr>
          <w:fldChar w:fldCharType="begin"/>
        </w:r>
        <w:r w:rsidR="00563384">
          <w:rPr>
            <w:noProof/>
            <w:webHidden/>
          </w:rPr>
          <w:instrText xml:space="preserve"> PAGEREF _Toc163563833 \h </w:instrText>
        </w:r>
        <w:r w:rsidR="00563384">
          <w:rPr>
            <w:noProof/>
            <w:webHidden/>
          </w:rPr>
        </w:r>
        <w:r w:rsidR="00563384">
          <w:rPr>
            <w:noProof/>
            <w:webHidden/>
          </w:rPr>
          <w:fldChar w:fldCharType="separate"/>
        </w:r>
        <w:r w:rsidR="0001219A">
          <w:rPr>
            <w:noProof/>
            <w:webHidden/>
          </w:rPr>
          <w:t>4</w:t>
        </w:r>
        <w:r w:rsidR="00563384">
          <w:rPr>
            <w:noProof/>
            <w:webHidden/>
          </w:rPr>
          <w:fldChar w:fldCharType="end"/>
        </w:r>
      </w:hyperlink>
    </w:p>
    <w:p w14:paraId="6FF5E030" w14:textId="30D8B3C1" w:rsidR="00563384" w:rsidRDefault="00563FB7">
      <w:pPr>
        <w:pStyle w:val="TOC2"/>
        <w:tabs>
          <w:tab w:val="right" w:leader="dot" w:pos="9011"/>
        </w:tabs>
        <w:rPr>
          <w:rFonts w:eastAsiaTheme="minorEastAsia"/>
          <w:i w:val="0"/>
          <w:iCs w:val="0"/>
          <w:noProof/>
          <w:sz w:val="24"/>
          <w:szCs w:val="24"/>
          <w:lang w:eastAsia="en-GB"/>
        </w:rPr>
      </w:pPr>
      <w:hyperlink w:anchor="_Toc163563834" w:history="1">
        <w:r w:rsidR="00563384" w:rsidRPr="00736E55">
          <w:rPr>
            <w:rStyle w:val="Hyperlink"/>
            <w:noProof/>
            <w:lang w:eastAsia="en-GB"/>
          </w:rPr>
          <w:t>The globalisation of corporate R&amp;D</w:t>
        </w:r>
        <w:r w:rsidR="00563384">
          <w:rPr>
            <w:noProof/>
            <w:webHidden/>
          </w:rPr>
          <w:tab/>
        </w:r>
        <w:r w:rsidR="00563384">
          <w:rPr>
            <w:noProof/>
            <w:webHidden/>
          </w:rPr>
          <w:fldChar w:fldCharType="begin"/>
        </w:r>
        <w:r w:rsidR="00563384">
          <w:rPr>
            <w:noProof/>
            <w:webHidden/>
          </w:rPr>
          <w:instrText xml:space="preserve"> PAGEREF _Toc163563834 \h </w:instrText>
        </w:r>
        <w:r w:rsidR="00563384">
          <w:rPr>
            <w:noProof/>
            <w:webHidden/>
          </w:rPr>
        </w:r>
        <w:r w:rsidR="00563384">
          <w:rPr>
            <w:noProof/>
            <w:webHidden/>
          </w:rPr>
          <w:fldChar w:fldCharType="separate"/>
        </w:r>
        <w:r w:rsidR="0001219A">
          <w:rPr>
            <w:noProof/>
            <w:webHidden/>
          </w:rPr>
          <w:t>4</w:t>
        </w:r>
        <w:r w:rsidR="00563384">
          <w:rPr>
            <w:noProof/>
            <w:webHidden/>
          </w:rPr>
          <w:fldChar w:fldCharType="end"/>
        </w:r>
      </w:hyperlink>
    </w:p>
    <w:p w14:paraId="46A677B7" w14:textId="0EB40328" w:rsidR="00563384" w:rsidRDefault="00563FB7">
      <w:pPr>
        <w:pStyle w:val="TOC2"/>
        <w:tabs>
          <w:tab w:val="right" w:leader="dot" w:pos="9011"/>
        </w:tabs>
        <w:rPr>
          <w:rFonts w:eastAsiaTheme="minorEastAsia"/>
          <w:i w:val="0"/>
          <w:iCs w:val="0"/>
          <w:noProof/>
          <w:sz w:val="24"/>
          <w:szCs w:val="24"/>
          <w:lang w:eastAsia="en-GB"/>
        </w:rPr>
      </w:pPr>
      <w:hyperlink w:anchor="_Toc163563835" w:history="1">
        <w:r w:rsidR="00563384" w:rsidRPr="00736E55">
          <w:rPr>
            <w:rStyle w:val="Hyperlink"/>
            <w:rFonts w:eastAsia="Aptos"/>
            <w:noProof/>
          </w:rPr>
          <w:t>R&amp;D is becoming harder to do</w:t>
        </w:r>
        <w:r w:rsidR="00563384">
          <w:rPr>
            <w:noProof/>
            <w:webHidden/>
          </w:rPr>
          <w:tab/>
        </w:r>
        <w:r w:rsidR="00563384">
          <w:rPr>
            <w:noProof/>
            <w:webHidden/>
          </w:rPr>
          <w:fldChar w:fldCharType="begin"/>
        </w:r>
        <w:r w:rsidR="00563384">
          <w:rPr>
            <w:noProof/>
            <w:webHidden/>
          </w:rPr>
          <w:instrText xml:space="preserve"> PAGEREF _Toc163563835 \h </w:instrText>
        </w:r>
        <w:r w:rsidR="00563384">
          <w:rPr>
            <w:noProof/>
            <w:webHidden/>
          </w:rPr>
        </w:r>
        <w:r w:rsidR="00563384">
          <w:rPr>
            <w:noProof/>
            <w:webHidden/>
          </w:rPr>
          <w:fldChar w:fldCharType="separate"/>
        </w:r>
        <w:r w:rsidR="0001219A">
          <w:rPr>
            <w:noProof/>
            <w:webHidden/>
          </w:rPr>
          <w:t>4</w:t>
        </w:r>
        <w:r w:rsidR="00563384">
          <w:rPr>
            <w:noProof/>
            <w:webHidden/>
          </w:rPr>
          <w:fldChar w:fldCharType="end"/>
        </w:r>
      </w:hyperlink>
    </w:p>
    <w:p w14:paraId="7B4B7F11" w14:textId="673B531A" w:rsidR="00563384" w:rsidRDefault="00563FB7">
      <w:pPr>
        <w:pStyle w:val="TOC2"/>
        <w:tabs>
          <w:tab w:val="right" w:leader="dot" w:pos="9011"/>
        </w:tabs>
        <w:rPr>
          <w:rFonts w:eastAsiaTheme="minorEastAsia"/>
          <w:i w:val="0"/>
          <w:iCs w:val="0"/>
          <w:noProof/>
          <w:sz w:val="24"/>
          <w:szCs w:val="24"/>
          <w:lang w:eastAsia="en-GB"/>
        </w:rPr>
      </w:pPr>
      <w:hyperlink w:anchor="_Toc163563836" w:history="1">
        <w:r w:rsidR="00563384" w:rsidRPr="00736E55">
          <w:rPr>
            <w:rStyle w:val="Hyperlink"/>
            <w:noProof/>
            <w:lang w:eastAsia="en-GB"/>
          </w:rPr>
          <w:t xml:space="preserve">The growing </w:t>
        </w:r>
        <w:r w:rsidR="00563384" w:rsidRPr="00736E55">
          <w:rPr>
            <w:rStyle w:val="Hyperlink"/>
            <w:noProof/>
          </w:rPr>
          <w:t>sophistication</w:t>
        </w:r>
        <w:r w:rsidR="00563384" w:rsidRPr="00736E55">
          <w:rPr>
            <w:rStyle w:val="Hyperlink"/>
            <w:noProof/>
            <w:lang w:eastAsia="en-GB"/>
          </w:rPr>
          <w:t xml:space="preserve"> and cost of digitised R&amp;D</w:t>
        </w:r>
        <w:r w:rsidR="00563384">
          <w:rPr>
            <w:noProof/>
            <w:webHidden/>
          </w:rPr>
          <w:tab/>
        </w:r>
        <w:r w:rsidR="00563384">
          <w:rPr>
            <w:noProof/>
            <w:webHidden/>
          </w:rPr>
          <w:fldChar w:fldCharType="begin"/>
        </w:r>
        <w:r w:rsidR="00563384">
          <w:rPr>
            <w:noProof/>
            <w:webHidden/>
          </w:rPr>
          <w:instrText xml:space="preserve"> PAGEREF _Toc163563836 \h </w:instrText>
        </w:r>
        <w:r w:rsidR="00563384">
          <w:rPr>
            <w:noProof/>
            <w:webHidden/>
          </w:rPr>
        </w:r>
        <w:r w:rsidR="00563384">
          <w:rPr>
            <w:noProof/>
            <w:webHidden/>
          </w:rPr>
          <w:fldChar w:fldCharType="separate"/>
        </w:r>
        <w:r w:rsidR="0001219A">
          <w:rPr>
            <w:noProof/>
            <w:webHidden/>
          </w:rPr>
          <w:t>5</w:t>
        </w:r>
        <w:r w:rsidR="00563384">
          <w:rPr>
            <w:noProof/>
            <w:webHidden/>
          </w:rPr>
          <w:fldChar w:fldCharType="end"/>
        </w:r>
      </w:hyperlink>
    </w:p>
    <w:p w14:paraId="1A56BC58" w14:textId="35FD3230" w:rsidR="00563384" w:rsidRDefault="00563FB7">
      <w:pPr>
        <w:pStyle w:val="TOC2"/>
        <w:tabs>
          <w:tab w:val="right" w:leader="dot" w:pos="9011"/>
        </w:tabs>
        <w:rPr>
          <w:rFonts w:eastAsiaTheme="minorEastAsia"/>
          <w:i w:val="0"/>
          <w:iCs w:val="0"/>
          <w:noProof/>
          <w:sz w:val="24"/>
          <w:szCs w:val="24"/>
          <w:lang w:eastAsia="en-GB"/>
        </w:rPr>
      </w:pPr>
      <w:hyperlink w:anchor="_Toc163563837" w:history="1">
        <w:r w:rsidR="00563384" w:rsidRPr="00736E55">
          <w:rPr>
            <w:rStyle w:val="Hyperlink"/>
            <w:noProof/>
            <w:lang w:eastAsia="en-GB"/>
          </w:rPr>
          <w:t xml:space="preserve">The </w:t>
        </w:r>
        <w:r w:rsidR="00563384" w:rsidRPr="00736E55">
          <w:rPr>
            <w:rStyle w:val="Hyperlink"/>
            <w:noProof/>
          </w:rPr>
          <w:t>gravitational</w:t>
        </w:r>
        <w:r w:rsidR="00563384" w:rsidRPr="00736E55">
          <w:rPr>
            <w:rStyle w:val="Hyperlink"/>
            <w:noProof/>
            <w:lang w:eastAsia="en-GB"/>
          </w:rPr>
          <w:t xml:space="preserve"> pull of globally oriented regional innovation ecosystems</w:t>
        </w:r>
        <w:r w:rsidR="00563384">
          <w:rPr>
            <w:noProof/>
            <w:webHidden/>
          </w:rPr>
          <w:tab/>
        </w:r>
        <w:r w:rsidR="00563384">
          <w:rPr>
            <w:noProof/>
            <w:webHidden/>
          </w:rPr>
          <w:fldChar w:fldCharType="begin"/>
        </w:r>
        <w:r w:rsidR="00563384">
          <w:rPr>
            <w:noProof/>
            <w:webHidden/>
          </w:rPr>
          <w:instrText xml:space="preserve"> PAGEREF _Toc163563837 \h </w:instrText>
        </w:r>
        <w:r w:rsidR="00563384">
          <w:rPr>
            <w:noProof/>
            <w:webHidden/>
          </w:rPr>
        </w:r>
        <w:r w:rsidR="00563384">
          <w:rPr>
            <w:noProof/>
            <w:webHidden/>
          </w:rPr>
          <w:fldChar w:fldCharType="separate"/>
        </w:r>
        <w:r w:rsidR="0001219A">
          <w:rPr>
            <w:noProof/>
            <w:webHidden/>
          </w:rPr>
          <w:t>5</w:t>
        </w:r>
        <w:r w:rsidR="00563384">
          <w:rPr>
            <w:noProof/>
            <w:webHidden/>
          </w:rPr>
          <w:fldChar w:fldCharType="end"/>
        </w:r>
      </w:hyperlink>
    </w:p>
    <w:p w14:paraId="0C84378A" w14:textId="0B197212" w:rsidR="00563384" w:rsidRDefault="00563FB7">
      <w:pPr>
        <w:pStyle w:val="TOC2"/>
        <w:tabs>
          <w:tab w:val="right" w:leader="dot" w:pos="9011"/>
        </w:tabs>
        <w:rPr>
          <w:rFonts w:eastAsiaTheme="minorEastAsia"/>
          <w:i w:val="0"/>
          <w:iCs w:val="0"/>
          <w:noProof/>
          <w:sz w:val="24"/>
          <w:szCs w:val="24"/>
          <w:lang w:eastAsia="en-GB"/>
        </w:rPr>
      </w:pPr>
      <w:hyperlink w:anchor="_Toc163563838" w:history="1">
        <w:r w:rsidR="00563384" w:rsidRPr="00736E55">
          <w:rPr>
            <w:rStyle w:val="Hyperlink"/>
            <w:noProof/>
            <w:lang w:eastAsia="en-GB"/>
          </w:rPr>
          <w:t xml:space="preserve">Privatisations, </w:t>
        </w:r>
        <w:r w:rsidR="00563384" w:rsidRPr="00736E55">
          <w:rPr>
            <w:rStyle w:val="Hyperlink"/>
            <w:noProof/>
          </w:rPr>
          <w:t>mergers</w:t>
        </w:r>
        <w:r w:rsidR="00563384" w:rsidRPr="00736E55">
          <w:rPr>
            <w:rStyle w:val="Hyperlink"/>
            <w:noProof/>
            <w:lang w:eastAsia="en-GB"/>
          </w:rPr>
          <w:t>, and acquisitions</w:t>
        </w:r>
        <w:r w:rsidR="00563384">
          <w:rPr>
            <w:noProof/>
            <w:webHidden/>
          </w:rPr>
          <w:tab/>
        </w:r>
        <w:r w:rsidR="00563384">
          <w:rPr>
            <w:noProof/>
            <w:webHidden/>
          </w:rPr>
          <w:fldChar w:fldCharType="begin"/>
        </w:r>
        <w:r w:rsidR="00563384">
          <w:rPr>
            <w:noProof/>
            <w:webHidden/>
          </w:rPr>
          <w:instrText xml:space="preserve"> PAGEREF _Toc163563838 \h </w:instrText>
        </w:r>
        <w:r w:rsidR="00563384">
          <w:rPr>
            <w:noProof/>
            <w:webHidden/>
          </w:rPr>
        </w:r>
        <w:r w:rsidR="00563384">
          <w:rPr>
            <w:noProof/>
            <w:webHidden/>
          </w:rPr>
          <w:fldChar w:fldCharType="separate"/>
        </w:r>
        <w:r w:rsidR="0001219A">
          <w:rPr>
            <w:noProof/>
            <w:webHidden/>
          </w:rPr>
          <w:t>5</w:t>
        </w:r>
        <w:r w:rsidR="00563384">
          <w:rPr>
            <w:noProof/>
            <w:webHidden/>
          </w:rPr>
          <w:fldChar w:fldCharType="end"/>
        </w:r>
      </w:hyperlink>
    </w:p>
    <w:p w14:paraId="47536C1E" w14:textId="48DC64E1" w:rsidR="00563384" w:rsidRDefault="00563FB7">
      <w:pPr>
        <w:pStyle w:val="TOC2"/>
        <w:tabs>
          <w:tab w:val="right" w:leader="dot" w:pos="9011"/>
        </w:tabs>
        <w:rPr>
          <w:rFonts w:eastAsiaTheme="minorEastAsia"/>
          <w:i w:val="0"/>
          <w:iCs w:val="0"/>
          <w:noProof/>
          <w:sz w:val="24"/>
          <w:szCs w:val="24"/>
          <w:lang w:eastAsia="en-GB"/>
        </w:rPr>
      </w:pPr>
      <w:hyperlink w:anchor="_Toc163563839" w:history="1">
        <w:r w:rsidR="00563384" w:rsidRPr="00736E55">
          <w:rPr>
            <w:rStyle w:val="Hyperlink"/>
            <w:noProof/>
            <w:lang w:val="en-GB"/>
          </w:rPr>
          <w:t xml:space="preserve">Knowledge and skills </w:t>
        </w:r>
        <w:r w:rsidR="00563384" w:rsidRPr="00736E55">
          <w:rPr>
            <w:rStyle w:val="Hyperlink"/>
            <w:noProof/>
          </w:rPr>
          <w:t>shortages</w:t>
        </w:r>
        <w:r w:rsidR="00563384">
          <w:rPr>
            <w:noProof/>
            <w:webHidden/>
          </w:rPr>
          <w:tab/>
        </w:r>
        <w:r w:rsidR="00563384">
          <w:rPr>
            <w:noProof/>
            <w:webHidden/>
          </w:rPr>
          <w:fldChar w:fldCharType="begin"/>
        </w:r>
        <w:r w:rsidR="00563384">
          <w:rPr>
            <w:noProof/>
            <w:webHidden/>
          </w:rPr>
          <w:instrText xml:space="preserve"> PAGEREF _Toc163563839 \h </w:instrText>
        </w:r>
        <w:r w:rsidR="00563384">
          <w:rPr>
            <w:noProof/>
            <w:webHidden/>
          </w:rPr>
        </w:r>
        <w:r w:rsidR="00563384">
          <w:rPr>
            <w:noProof/>
            <w:webHidden/>
          </w:rPr>
          <w:fldChar w:fldCharType="separate"/>
        </w:r>
        <w:r w:rsidR="0001219A">
          <w:rPr>
            <w:noProof/>
            <w:webHidden/>
          </w:rPr>
          <w:t>6</w:t>
        </w:r>
        <w:r w:rsidR="00563384">
          <w:rPr>
            <w:noProof/>
            <w:webHidden/>
          </w:rPr>
          <w:fldChar w:fldCharType="end"/>
        </w:r>
      </w:hyperlink>
    </w:p>
    <w:p w14:paraId="6667A392" w14:textId="6E634E8D" w:rsidR="00563384" w:rsidRDefault="00563FB7">
      <w:pPr>
        <w:pStyle w:val="TOC2"/>
        <w:tabs>
          <w:tab w:val="right" w:leader="dot" w:pos="9011"/>
        </w:tabs>
        <w:rPr>
          <w:rFonts w:eastAsiaTheme="minorEastAsia"/>
          <w:i w:val="0"/>
          <w:iCs w:val="0"/>
          <w:noProof/>
          <w:sz w:val="24"/>
          <w:szCs w:val="24"/>
          <w:lang w:eastAsia="en-GB"/>
        </w:rPr>
      </w:pPr>
      <w:hyperlink w:anchor="_Toc163563840" w:history="1">
        <w:r w:rsidR="00563384" w:rsidRPr="00736E55">
          <w:rPr>
            <w:rStyle w:val="Hyperlink"/>
            <w:noProof/>
            <w:lang w:eastAsia="en-GB"/>
          </w:rPr>
          <w:t xml:space="preserve">Investor </w:t>
        </w:r>
        <w:r w:rsidR="00563384" w:rsidRPr="00736E55">
          <w:rPr>
            <w:rStyle w:val="Hyperlink"/>
            <w:noProof/>
          </w:rPr>
          <w:t>pressure</w:t>
        </w:r>
        <w:r w:rsidR="00563384" w:rsidRPr="00736E55">
          <w:rPr>
            <w:rStyle w:val="Hyperlink"/>
            <w:noProof/>
            <w:lang w:eastAsia="en-GB"/>
          </w:rPr>
          <w:t xml:space="preserve"> for shareholder value</w:t>
        </w:r>
        <w:r w:rsidR="00563384">
          <w:rPr>
            <w:noProof/>
            <w:webHidden/>
          </w:rPr>
          <w:tab/>
        </w:r>
        <w:r w:rsidR="00563384">
          <w:rPr>
            <w:noProof/>
            <w:webHidden/>
          </w:rPr>
          <w:fldChar w:fldCharType="begin"/>
        </w:r>
        <w:r w:rsidR="00563384">
          <w:rPr>
            <w:noProof/>
            <w:webHidden/>
          </w:rPr>
          <w:instrText xml:space="preserve"> PAGEREF _Toc163563840 \h </w:instrText>
        </w:r>
        <w:r w:rsidR="00563384">
          <w:rPr>
            <w:noProof/>
            <w:webHidden/>
          </w:rPr>
        </w:r>
        <w:r w:rsidR="00563384">
          <w:rPr>
            <w:noProof/>
            <w:webHidden/>
          </w:rPr>
          <w:fldChar w:fldCharType="separate"/>
        </w:r>
        <w:r w:rsidR="0001219A">
          <w:rPr>
            <w:noProof/>
            <w:webHidden/>
          </w:rPr>
          <w:t>6</w:t>
        </w:r>
        <w:r w:rsidR="00563384">
          <w:rPr>
            <w:noProof/>
            <w:webHidden/>
          </w:rPr>
          <w:fldChar w:fldCharType="end"/>
        </w:r>
      </w:hyperlink>
    </w:p>
    <w:p w14:paraId="30FB0EBA" w14:textId="35116CB1" w:rsidR="00563384" w:rsidRDefault="00563FB7">
      <w:pPr>
        <w:pStyle w:val="TOC1"/>
        <w:rPr>
          <w:rFonts w:eastAsiaTheme="minorEastAsia"/>
          <w:b w:val="0"/>
          <w:bCs w:val="0"/>
          <w:noProof/>
          <w:sz w:val="24"/>
          <w:szCs w:val="24"/>
          <w:lang w:eastAsia="en-GB"/>
        </w:rPr>
      </w:pPr>
      <w:hyperlink w:anchor="_Toc163563841" w:history="1">
        <w:r w:rsidR="00563384" w:rsidRPr="00736E55">
          <w:rPr>
            <w:rStyle w:val="Hyperlink"/>
            <w:noProof/>
            <w:lang w:eastAsia="en-GB"/>
          </w:rPr>
          <w:t>Reversing the slide</w:t>
        </w:r>
        <w:r w:rsidR="00563384">
          <w:rPr>
            <w:noProof/>
            <w:webHidden/>
          </w:rPr>
          <w:tab/>
        </w:r>
        <w:r w:rsidR="00563384">
          <w:rPr>
            <w:noProof/>
            <w:webHidden/>
          </w:rPr>
          <w:fldChar w:fldCharType="begin"/>
        </w:r>
        <w:r w:rsidR="00563384">
          <w:rPr>
            <w:noProof/>
            <w:webHidden/>
          </w:rPr>
          <w:instrText xml:space="preserve"> PAGEREF _Toc163563841 \h </w:instrText>
        </w:r>
        <w:r w:rsidR="00563384">
          <w:rPr>
            <w:noProof/>
            <w:webHidden/>
          </w:rPr>
        </w:r>
        <w:r w:rsidR="00563384">
          <w:rPr>
            <w:noProof/>
            <w:webHidden/>
          </w:rPr>
          <w:fldChar w:fldCharType="separate"/>
        </w:r>
        <w:r w:rsidR="0001219A">
          <w:rPr>
            <w:noProof/>
            <w:webHidden/>
          </w:rPr>
          <w:t>6</w:t>
        </w:r>
        <w:r w:rsidR="00563384">
          <w:rPr>
            <w:noProof/>
            <w:webHidden/>
          </w:rPr>
          <w:fldChar w:fldCharType="end"/>
        </w:r>
      </w:hyperlink>
    </w:p>
    <w:p w14:paraId="512B4AB7" w14:textId="2A70C49F" w:rsidR="007E1A12" w:rsidRDefault="007E1A12" w:rsidP="00CC51FE">
      <w:pPr>
        <w:rPr>
          <w:lang w:eastAsia="en-GB"/>
        </w:rPr>
      </w:pPr>
      <w:r>
        <w:rPr>
          <w:lang w:eastAsia="en-GB"/>
        </w:rPr>
        <w:fldChar w:fldCharType="end"/>
      </w:r>
    </w:p>
    <w:p w14:paraId="19E5101F" w14:textId="63C9C27A" w:rsidR="0042248D" w:rsidRDefault="0042248D" w:rsidP="0042248D">
      <w:pPr>
        <w:rPr>
          <w:lang w:eastAsia="en-GB"/>
        </w:rPr>
      </w:pPr>
      <w:r>
        <w:rPr>
          <w:lang w:eastAsia="en-GB"/>
        </w:rPr>
        <w:t xml:space="preserve">From 2008 Australian business R&amp;D collapsed. This Paper sets out to find out why. </w:t>
      </w:r>
    </w:p>
    <w:p w14:paraId="69F704FE" w14:textId="1A827592" w:rsidR="0042248D" w:rsidRDefault="0042248D" w:rsidP="0042248D">
      <w:pPr>
        <w:pStyle w:val="Heading1"/>
        <w:rPr>
          <w:lang w:eastAsia="en-GB"/>
        </w:rPr>
      </w:pPr>
      <w:bookmarkStart w:id="0" w:name="_Toc163563829"/>
      <w:r>
        <w:rPr>
          <w:lang w:eastAsia="en-GB"/>
        </w:rPr>
        <w:t>What the data tells us</w:t>
      </w:r>
      <w:bookmarkEnd w:id="0"/>
    </w:p>
    <w:p w14:paraId="09328CF0" w14:textId="73B2FF81" w:rsidR="0042248D" w:rsidRPr="0042248D" w:rsidRDefault="001A1841" w:rsidP="0042248D">
      <w:pPr>
        <w:rPr>
          <w:lang w:eastAsia="en-GB"/>
        </w:rPr>
      </w:pPr>
      <w:r>
        <w:rPr>
          <w:lang w:eastAsia="en-GB"/>
        </w:rPr>
        <w:t xml:space="preserve">From 1981 to 1995, Australian businesses made steady progress in lifting the proportion of R&amp;D in GDP. </w:t>
      </w:r>
      <w:r w:rsidR="00753CC3">
        <w:rPr>
          <w:lang w:eastAsia="en-GB"/>
        </w:rPr>
        <w:t xml:space="preserve">When the </w:t>
      </w:r>
      <w:r>
        <w:rPr>
          <w:lang w:eastAsia="en-GB"/>
        </w:rPr>
        <w:t>across-the-board tariff cuts announced in 1988 came into effect,</w:t>
      </w:r>
      <w:r w:rsidR="00753CC3">
        <w:rPr>
          <w:lang w:eastAsia="en-GB"/>
        </w:rPr>
        <w:t xml:space="preserve"> the </w:t>
      </w:r>
      <w:r>
        <w:rPr>
          <w:lang w:eastAsia="en-GB"/>
        </w:rPr>
        <w:t xml:space="preserve">proportion dropped </w:t>
      </w:r>
      <w:r w:rsidR="00756F13">
        <w:rPr>
          <w:lang w:eastAsia="en-GB"/>
        </w:rPr>
        <w:t>and</w:t>
      </w:r>
      <w:r>
        <w:rPr>
          <w:lang w:eastAsia="en-GB"/>
        </w:rPr>
        <w:t xml:space="preserve"> then recovered</w:t>
      </w:r>
      <w:r w:rsidR="00753CC3">
        <w:rPr>
          <w:lang w:eastAsia="en-GB"/>
        </w:rPr>
        <w:t xml:space="preserve"> progressively</w:t>
      </w:r>
      <w:r>
        <w:rPr>
          <w:lang w:eastAsia="en-GB"/>
        </w:rPr>
        <w:t xml:space="preserve">, reaching 1.37% in 2007. The collapse associated with the GFC pushed the proportion back to 0.92% in 2019. </w:t>
      </w:r>
      <w:r w:rsidR="0042248D">
        <w:rPr>
          <w:lang w:eastAsia="en-GB"/>
        </w:rPr>
        <w:t xml:space="preserve">Trends are shown in </w:t>
      </w:r>
      <w:r w:rsidR="0042248D">
        <w:rPr>
          <w:lang w:eastAsia="en-GB"/>
        </w:rPr>
        <w:fldChar w:fldCharType="begin"/>
      </w:r>
      <w:r w:rsidR="0042248D">
        <w:rPr>
          <w:lang w:eastAsia="en-GB"/>
        </w:rPr>
        <w:instrText xml:space="preserve"> REF _Ref161927690 \h </w:instrText>
      </w:r>
      <w:r w:rsidR="0042248D">
        <w:rPr>
          <w:lang w:eastAsia="en-GB"/>
        </w:rPr>
      </w:r>
      <w:r w:rsidR="0042248D">
        <w:rPr>
          <w:lang w:eastAsia="en-GB"/>
        </w:rPr>
        <w:fldChar w:fldCharType="separate"/>
      </w:r>
      <w:r w:rsidR="0001219A">
        <w:t xml:space="preserve">Figure </w:t>
      </w:r>
      <w:r w:rsidR="0001219A">
        <w:rPr>
          <w:noProof/>
        </w:rPr>
        <w:t>1</w:t>
      </w:r>
      <w:r w:rsidR="0042248D">
        <w:rPr>
          <w:lang w:eastAsia="en-GB"/>
        </w:rPr>
        <w:fldChar w:fldCharType="end"/>
      </w:r>
      <w:r w:rsidR="0042248D">
        <w:rPr>
          <w:lang w:eastAsia="en-GB"/>
        </w:rPr>
        <w:t xml:space="preserve">. </w:t>
      </w:r>
    </w:p>
    <w:p w14:paraId="54F17EB6" w14:textId="58A78FB6" w:rsidR="00B772BB" w:rsidRDefault="00315F68" w:rsidP="00B772BB">
      <w:pPr>
        <w:pStyle w:val="Caption"/>
        <w:keepNext/>
        <w:spacing w:before="0" w:after="0"/>
      </w:pPr>
      <w:bookmarkStart w:id="1" w:name="_Ref16192769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01219A">
        <w:rPr>
          <w:noProof/>
        </w:rPr>
        <w:t>1</w:t>
      </w:r>
      <w:r>
        <w:fldChar w:fldCharType="end"/>
      </w:r>
      <w:bookmarkEnd w:id="1"/>
      <w:r>
        <w:t xml:space="preserve">: Trends in business expenditure on R&amp;D 1992-93 to 2021-22 </w:t>
      </w:r>
    </w:p>
    <w:p w14:paraId="7C8D240D" w14:textId="65A70ED9" w:rsidR="00315F68" w:rsidRDefault="00315F68" w:rsidP="00B772BB">
      <w:pPr>
        <w:pStyle w:val="Caption"/>
        <w:keepNext/>
        <w:spacing w:before="0" w:after="0"/>
      </w:pPr>
      <w:r>
        <w:t>$m inflation adjusted.</w:t>
      </w:r>
    </w:p>
    <w:p w14:paraId="4DAD0BCB" w14:textId="77777777" w:rsidR="00315F68" w:rsidRDefault="00315F68" w:rsidP="00B772BB">
      <w:pPr>
        <w:spacing w:before="0" w:after="0"/>
        <w:jc w:val="center"/>
        <w:rPr>
          <w:rFonts w:eastAsia="Times New Roman" w:cs="Calibri"/>
          <w:color w:val="212121"/>
          <w:kern w:val="0"/>
          <w:sz w:val="16"/>
          <w:szCs w:val="16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5C7FD8D9" wp14:editId="2456DCD5">
            <wp:extent cx="4752000" cy="2480400"/>
            <wp:effectExtent l="12700" t="12700" r="10795" b="8890"/>
            <wp:docPr id="17745002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50023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2480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914DEF8" w14:textId="09CCA6C8" w:rsidR="00A01A1A" w:rsidRPr="002F2297" w:rsidRDefault="00315F68" w:rsidP="002F2297">
      <w:pPr>
        <w:spacing w:before="0" w:after="0"/>
        <w:ind w:firstLine="720"/>
        <w:rPr>
          <w:rFonts w:eastAsia="Times New Roman" w:cs="Calibri"/>
          <w:color w:val="212121"/>
          <w:kern w:val="0"/>
          <w:sz w:val="16"/>
          <w:szCs w:val="16"/>
          <w:lang w:eastAsia="en-GB"/>
          <w14:ligatures w14:val="none"/>
        </w:rPr>
      </w:pPr>
      <w:r>
        <w:rPr>
          <w:rFonts w:eastAsia="Times New Roman" w:cs="Calibri"/>
          <w:color w:val="212121"/>
          <w:kern w:val="0"/>
          <w:sz w:val="16"/>
          <w:szCs w:val="16"/>
          <w:lang w:eastAsia="en-GB"/>
          <w14:ligatures w14:val="none"/>
        </w:rPr>
        <w:t>Source: ABS</w:t>
      </w:r>
      <w:r w:rsidR="00CC51FE">
        <w:rPr>
          <w:rFonts w:eastAsia="Times New Roman" w:cs="Calibri"/>
          <w:color w:val="212121"/>
          <w:kern w:val="0"/>
          <w:sz w:val="16"/>
          <w:szCs w:val="16"/>
          <w:lang w:eastAsia="en-GB"/>
          <w14:ligatures w14:val="none"/>
        </w:rPr>
        <w:t xml:space="preserve">, </w:t>
      </w:r>
      <w:r w:rsidR="00CC51FE" w:rsidRPr="00CC51FE">
        <w:rPr>
          <w:rFonts w:eastAsia="Times New Roman" w:cs="Calibri"/>
          <w:i/>
          <w:iCs/>
          <w:color w:val="212121"/>
          <w:kern w:val="0"/>
          <w:sz w:val="16"/>
          <w:szCs w:val="16"/>
          <w:lang w:eastAsia="en-GB"/>
          <w14:ligatures w14:val="none"/>
        </w:rPr>
        <w:t>Research and Experimental Development, Businesses, Australia</w:t>
      </w:r>
      <w:r w:rsidR="00CC51FE">
        <w:rPr>
          <w:rFonts w:eastAsia="Times New Roman" w:cs="Calibri"/>
          <w:color w:val="212121"/>
          <w:kern w:val="0"/>
          <w:sz w:val="16"/>
          <w:szCs w:val="16"/>
          <w:lang w:eastAsia="en-GB"/>
          <w14:ligatures w14:val="none"/>
        </w:rPr>
        <w:t xml:space="preserve">, various years. </w:t>
      </w:r>
    </w:p>
    <w:p w14:paraId="7CE71CC0" w14:textId="380253FB" w:rsidR="003A2F3E" w:rsidRDefault="00B521D1" w:rsidP="003A2F3E">
      <w:r>
        <w:t xml:space="preserve">The trends in </w:t>
      </w:r>
      <w:r w:rsidR="003A2F3E">
        <w:fldChar w:fldCharType="begin"/>
      </w:r>
      <w:r w:rsidR="003A2F3E">
        <w:instrText xml:space="preserve"> REF _Ref161927690 \h </w:instrText>
      </w:r>
      <w:r w:rsidR="003A2F3E">
        <w:fldChar w:fldCharType="separate"/>
      </w:r>
      <w:r w:rsidR="0001219A">
        <w:t xml:space="preserve">Figure </w:t>
      </w:r>
      <w:r w:rsidR="0001219A">
        <w:rPr>
          <w:noProof/>
        </w:rPr>
        <w:t>1</w:t>
      </w:r>
      <w:r w:rsidR="003A2F3E">
        <w:fldChar w:fldCharType="end"/>
      </w:r>
      <w:r>
        <w:t xml:space="preserve"> point to</w:t>
      </w:r>
      <w:r w:rsidR="003A2F3E">
        <w:t xml:space="preserve">: </w:t>
      </w:r>
    </w:p>
    <w:p w14:paraId="62E2B244" w14:textId="77777777" w:rsidR="0042248D" w:rsidRDefault="00A227DD" w:rsidP="003A2F3E">
      <w:pPr>
        <w:pStyle w:val="ListParagraph"/>
        <w:numPr>
          <w:ilvl w:val="0"/>
          <w:numId w:val="21"/>
        </w:numPr>
      </w:pPr>
      <w:r>
        <w:t xml:space="preserve">The largest </w:t>
      </w:r>
      <w:r w:rsidR="00F77455">
        <w:t xml:space="preserve">fall in R&amp;D was </w:t>
      </w:r>
      <w:r>
        <w:t xml:space="preserve">in </w:t>
      </w:r>
      <w:r w:rsidR="00F77455">
        <w:t xml:space="preserve">the </w:t>
      </w:r>
      <w:r w:rsidRPr="003A2F3E">
        <w:rPr>
          <w:i/>
          <w:iCs/>
        </w:rPr>
        <w:t xml:space="preserve">Energy </w:t>
      </w:r>
      <w:r w:rsidR="00F77455">
        <w:t xml:space="preserve">sector, </w:t>
      </w:r>
      <w:r w:rsidR="006805BC">
        <w:t xml:space="preserve">principally </w:t>
      </w:r>
      <w:r>
        <w:t xml:space="preserve">by </w:t>
      </w:r>
      <w:r w:rsidR="00592E35">
        <w:t>fossil fuel companies</w:t>
      </w:r>
      <w:r w:rsidR="00E13EFB">
        <w:t xml:space="preserve">. </w:t>
      </w:r>
    </w:p>
    <w:p w14:paraId="2814E281" w14:textId="30590A08" w:rsidR="00A227DD" w:rsidRDefault="00B521D1" w:rsidP="0042248D">
      <w:pPr>
        <w:ind w:left="360"/>
      </w:pPr>
      <w:r>
        <w:t xml:space="preserve">Some have suggested </w:t>
      </w:r>
      <w:r w:rsidR="00E13EFB">
        <w:t>that these companies moved away from exploration to concentrate on extraction, reducing the need to develop new technologies</w:t>
      </w:r>
      <w:r w:rsidR="00E13EFB">
        <w:rPr>
          <w:rStyle w:val="FootnoteReference"/>
        </w:rPr>
        <w:footnoteReference w:id="1"/>
      </w:r>
      <w:r w:rsidR="00E13EFB">
        <w:t xml:space="preserve">. </w:t>
      </w:r>
      <w:r w:rsidR="000D7E86">
        <w:t xml:space="preserve">Another explanation is that they stopped investing in fossil fuels and switched to </w:t>
      </w:r>
      <w:r w:rsidR="003A2F3E">
        <w:t xml:space="preserve">investing </w:t>
      </w:r>
      <w:r w:rsidR="00E13EFB">
        <w:t>in</w:t>
      </w:r>
      <w:r w:rsidR="000D7E86">
        <w:t xml:space="preserve">to new businesses, such as </w:t>
      </w:r>
      <w:r w:rsidR="00E13EFB">
        <w:t>alternative energy R&amp;D—but not in Australia.</w:t>
      </w:r>
    </w:p>
    <w:p w14:paraId="1459A4FB" w14:textId="53243D85" w:rsidR="00A227DD" w:rsidRDefault="00E13EFB" w:rsidP="003A2F3E">
      <w:pPr>
        <w:pStyle w:val="ListParagraph"/>
        <w:numPr>
          <w:ilvl w:val="0"/>
          <w:numId w:val="21"/>
        </w:numPr>
      </w:pPr>
      <w:r w:rsidRPr="003A2F3E">
        <w:rPr>
          <w:i/>
          <w:iCs/>
        </w:rPr>
        <w:t>M</w:t>
      </w:r>
      <w:r w:rsidR="00F77455" w:rsidRPr="003A2F3E">
        <w:rPr>
          <w:i/>
          <w:iCs/>
        </w:rPr>
        <w:t xml:space="preserve">ineral </w:t>
      </w:r>
      <w:r w:rsidR="00C737B4" w:rsidRPr="003A2F3E">
        <w:rPr>
          <w:i/>
          <w:iCs/>
        </w:rPr>
        <w:t>R</w:t>
      </w:r>
      <w:r w:rsidRPr="003A2F3E">
        <w:rPr>
          <w:i/>
          <w:iCs/>
        </w:rPr>
        <w:t>esources</w:t>
      </w:r>
      <w:r>
        <w:t xml:space="preserve"> </w:t>
      </w:r>
      <w:r w:rsidR="00F77455">
        <w:t>R&amp;D also declined</w:t>
      </w:r>
      <w:r>
        <w:t xml:space="preserve">, </w:t>
      </w:r>
      <w:r w:rsidR="0042248D">
        <w:t xml:space="preserve">also </w:t>
      </w:r>
      <w:r>
        <w:t xml:space="preserve">suggesting that </w:t>
      </w:r>
      <w:r w:rsidR="00C737B4">
        <w:t>global miners have cut back on their R&amp;D commitment</w:t>
      </w:r>
      <w:r w:rsidR="003A2F3E">
        <w:t xml:space="preserve">. </w:t>
      </w:r>
      <w:r w:rsidR="00B521D1">
        <w:t xml:space="preserve">But, also </w:t>
      </w:r>
      <w:r w:rsidR="00C737B4">
        <w:t xml:space="preserve">like </w:t>
      </w:r>
      <w:r w:rsidR="003A2F3E">
        <w:t xml:space="preserve">the </w:t>
      </w:r>
      <w:r w:rsidR="00C737B4">
        <w:t>energy companies, they are conducting t</w:t>
      </w:r>
      <w:r>
        <w:t xml:space="preserve">heir R&amp;D </w:t>
      </w:r>
      <w:r w:rsidR="00C737B4">
        <w:t xml:space="preserve">elsewhere. </w:t>
      </w:r>
    </w:p>
    <w:p w14:paraId="7CAA83D3" w14:textId="7C87AC07" w:rsidR="001D0796" w:rsidRDefault="00C737B4" w:rsidP="003A2F3E">
      <w:pPr>
        <w:pStyle w:val="ListParagraph"/>
        <w:numPr>
          <w:ilvl w:val="0"/>
          <w:numId w:val="21"/>
        </w:numPr>
      </w:pPr>
      <w:r>
        <w:t>Although</w:t>
      </w:r>
      <w:r w:rsidR="003A2F3E">
        <w:t xml:space="preserve"> </w:t>
      </w:r>
      <w:r w:rsidR="00CC51FE">
        <w:t xml:space="preserve">the GFC hit </w:t>
      </w:r>
      <w:r w:rsidR="00CC51FE" w:rsidRPr="00CC51FE">
        <w:rPr>
          <w:i/>
          <w:iCs/>
        </w:rPr>
        <w:t>Information and Communication Services</w:t>
      </w:r>
      <w:r w:rsidR="00CC51FE">
        <w:t xml:space="preserve"> R&amp;D hard, there was increased R&amp;D investment from 2012-13. Rapidly growing companies like Atlassian, WiseTech,</w:t>
      </w:r>
      <w:r w:rsidR="001D0796">
        <w:t xml:space="preserve"> and Xero are heavy R&amp;D investors, although not all of this occurs in Australia. </w:t>
      </w:r>
    </w:p>
    <w:p w14:paraId="1FD37D88" w14:textId="667DBF2E" w:rsidR="00A227DD" w:rsidRDefault="00C737B4" w:rsidP="003A2F3E">
      <w:pPr>
        <w:pStyle w:val="ListParagraph"/>
        <w:numPr>
          <w:ilvl w:val="0"/>
          <w:numId w:val="21"/>
        </w:numPr>
      </w:pPr>
      <w:r>
        <w:t xml:space="preserve">R&amp;D </w:t>
      </w:r>
      <w:r w:rsidR="00A227DD">
        <w:t xml:space="preserve">investment in </w:t>
      </w:r>
      <w:r w:rsidRPr="003A2F3E">
        <w:rPr>
          <w:i/>
          <w:iCs/>
        </w:rPr>
        <w:t>C</w:t>
      </w:r>
      <w:r w:rsidR="00A227DD" w:rsidRPr="003A2F3E">
        <w:rPr>
          <w:i/>
          <w:iCs/>
        </w:rPr>
        <w:t xml:space="preserve">ommercial </w:t>
      </w:r>
      <w:r w:rsidRPr="003A2F3E">
        <w:rPr>
          <w:i/>
          <w:iCs/>
        </w:rPr>
        <w:t>S</w:t>
      </w:r>
      <w:r w:rsidR="00A227DD" w:rsidRPr="003A2F3E">
        <w:rPr>
          <w:i/>
          <w:iCs/>
        </w:rPr>
        <w:t xml:space="preserve">ervices and </w:t>
      </w:r>
      <w:r w:rsidRPr="003A2F3E">
        <w:rPr>
          <w:i/>
          <w:iCs/>
        </w:rPr>
        <w:t>T</w:t>
      </w:r>
      <w:r w:rsidR="00A227DD" w:rsidRPr="003A2F3E">
        <w:rPr>
          <w:i/>
          <w:iCs/>
        </w:rPr>
        <w:t>ourism</w:t>
      </w:r>
      <w:r w:rsidR="001D0796">
        <w:t xml:space="preserve">, which includes banking and </w:t>
      </w:r>
      <w:proofErr w:type="spellStart"/>
      <w:r w:rsidR="001D0796">
        <w:t>finance,</w:t>
      </w:r>
      <w:r w:rsidR="001D0796" w:rsidRPr="001D0796">
        <w:t>held</w:t>
      </w:r>
      <w:proofErr w:type="spellEnd"/>
      <w:r w:rsidR="001D0796" w:rsidRPr="001D0796">
        <w:t xml:space="preserve"> up after the GFC </w:t>
      </w:r>
      <w:r w:rsidR="001D0796">
        <w:t xml:space="preserve">but </w:t>
      </w:r>
      <w:r w:rsidR="001D0796" w:rsidRPr="001D0796">
        <w:t>had fallen significantly since 2015-16</w:t>
      </w:r>
      <w:r w:rsidR="006805BC" w:rsidRPr="001D0796">
        <w:t xml:space="preserve">, </w:t>
      </w:r>
      <w:r w:rsidR="00A227DD">
        <w:t xml:space="preserve">recovering </w:t>
      </w:r>
      <w:r w:rsidR="0042248D">
        <w:t xml:space="preserve">again from </w:t>
      </w:r>
      <w:r w:rsidR="006805BC">
        <w:t xml:space="preserve">2019-20. </w:t>
      </w:r>
    </w:p>
    <w:p w14:paraId="45EDD154" w14:textId="5719AB93" w:rsidR="00A227DD" w:rsidRDefault="001D0796" w:rsidP="003A2F3E">
      <w:pPr>
        <w:pStyle w:val="ListParagraph"/>
        <w:numPr>
          <w:ilvl w:val="0"/>
          <w:numId w:val="21"/>
        </w:numPr>
      </w:pPr>
      <w:r w:rsidRPr="003A2F3E">
        <w:rPr>
          <w:i/>
          <w:iCs/>
        </w:rPr>
        <w:t>Manufacturing</w:t>
      </w:r>
      <w:r>
        <w:t xml:space="preserve"> R&amp;D</w:t>
      </w:r>
      <w:r w:rsidR="001E3FDC">
        <w:t>, which had recovered from the tariff cuts in the 1990s, fell</w:t>
      </w:r>
      <w:r>
        <w:t xml:space="preserve"> </w:t>
      </w:r>
      <w:r w:rsidR="001E3FDC">
        <w:t xml:space="preserve">by a relatively small amount after the GFC. It has taken a fall since 2019-20, suggesting that the </w:t>
      </w:r>
      <w:r>
        <w:t>COVID</w:t>
      </w:r>
      <w:r w:rsidR="00B521D1">
        <w:t>-19</w:t>
      </w:r>
      <w:r>
        <w:t xml:space="preserve"> influence </w:t>
      </w:r>
      <w:r w:rsidR="001E3FDC">
        <w:t xml:space="preserve">was </w:t>
      </w:r>
      <w:r>
        <w:t xml:space="preserve">at play. </w:t>
      </w:r>
    </w:p>
    <w:p w14:paraId="0BBB0D6F" w14:textId="77777777" w:rsidR="0042248D" w:rsidRDefault="008534A3" w:rsidP="003A2F3E">
      <w:pPr>
        <w:pStyle w:val="ListParagraph"/>
        <w:numPr>
          <w:ilvl w:val="0"/>
          <w:numId w:val="21"/>
        </w:numPr>
      </w:pPr>
      <w:r>
        <w:t xml:space="preserve">R&amp;D in </w:t>
      </w:r>
      <w:r w:rsidR="001E3FDC">
        <w:t xml:space="preserve">other </w:t>
      </w:r>
      <w:r w:rsidR="00BA6FC9">
        <w:t xml:space="preserve">industries, </w:t>
      </w:r>
      <w:r w:rsidR="001E3FDC">
        <w:t xml:space="preserve">including </w:t>
      </w:r>
      <w:r w:rsidR="00BA6FC9">
        <w:t xml:space="preserve">Construction, Environment, and Agricultural production, is </w:t>
      </w:r>
      <w:r w:rsidR="00CC51FE">
        <w:t xml:space="preserve">relatively </w:t>
      </w:r>
      <w:r w:rsidR="00BA6FC9">
        <w:t xml:space="preserve">small, and movements have not influenced the overall R&amp;D trend. </w:t>
      </w:r>
      <w:r>
        <w:t>Again, global corporations invest heavily in R&amp;D</w:t>
      </w:r>
      <w:r w:rsidR="00BA6FC9">
        <w:t xml:space="preserve"> in these industries</w:t>
      </w:r>
      <w:r>
        <w:t xml:space="preserve">, but not much is undertaken in Australia. </w:t>
      </w:r>
    </w:p>
    <w:p w14:paraId="2691C11D" w14:textId="0A201465" w:rsidR="001E3FDC" w:rsidRDefault="001E3FDC" w:rsidP="003A2F3E">
      <w:pPr>
        <w:pStyle w:val="ListParagraph"/>
        <w:numPr>
          <w:ilvl w:val="0"/>
          <w:numId w:val="21"/>
        </w:numPr>
      </w:pPr>
      <w:r w:rsidRPr="003A2F3E">
        <w:rPr>
          <w:i/>
          <w:iCs/>
        </w:rPr>
        <w:t>Defence</w:t>
      </w:r>
      <w:r>
        <w:t xml:space="preserve"> R&amp;D does not take on the significance it </w:t>
      </w:r>
      <w:r w:rsidR="00BA6FC9">
        <w:t xml:space="preserve">has </w:t>
      </w:r>
      <w:r>
        <w:t xml:space="preserve">in the US and many other countries. </w:t>
      </w:r>
    </w:p>
    <w:p w14:paraId="3E91671F" w14:textId="093B87E3" w:rsidR="00A227DD" w:rsidRDefault="00A227DD" w:rsidP="003A2F3E">
      <w:pPr>
        <w:pStyle w:val="ListParagraph"/>
        <w:numPr>
          <w:ilvl w:val="0"/>
          <w:numId w:val="21"/>
        </w:numPr>
      </w:pPr>
      <w:r>
        <w:t xml:space="preserve">Without the rapid growth in </w:t>
      </w:r>
      <w:r w:rsidRPr="003A2F3E">
        <w:rPr>
          <w:i/>
          <w:iCs/>
        </w:rPr>
        <w:t>Health</w:t>
      </w:r>
      <w:r>
        <w:t xml:space="preserve"> R&amp;D</w:t>
      </w:r>
      <w:r w:rsidR="00BA6FC9">
        <w:t xml:space="preserve">, where CSL is a large player, </w:t>
      </w:r>
      <w:r>
        <w:t xml:space="preserve">the situation would be even </w:t>
      </w:r>
      <w:r w:rsidR="00BA6FC9">
        <w:t>grimmer</w:t>
      </w:r>
      <w:r>
        <w:t>.</w:t>
      </w:r>
    </w:p>
    <w:p w14:paraId="2CCA6A71" w14:textId="4DB1E0CD" w:rsidR="006805BC" w:rsidRDefault="00BF0DFF" w:rsidP="00BF0DFF">
      <w:pPr>
        <w:pStyle w:val="Heading1"/>
        <w:rPr>
          <w:lang w:eastAsia="en-GB"/>
        </w:rPr>
      </w:pPr>
      <w:bookmarkStart w:id="2" w:name="_Toc163563830"/>
      <w:r>
        <w:rPr>
          <w:lang w:eastAsia="en-GB"/>
        </w:rPr>
        <w:t>Beyond the data</w:t>
      </w:r>
      <w:r w:rsidR="007E1A12">
        <w:rPr>
          <w:lang w:eastAsia="en-GB"/>
        </w:rPr>
        <w:t>: what’s really going on</w:t>
      </w:r>
      <w:bookmarkEnd w:id="2"/>
    </w:p>
    <w:p w14:paraId="66F4BDF6" w14:textId="76EAEC2F" w:rsidR="007E1A12" w:rsidRPr="007E1A12" w:rsidRDefault="007E1A12" w:rsidP="007E1A12">
      <w:pPr>
        <w:rPr>
          <w:lang w:eastAsia="en-GB"/>
        </w:rPr>
      </w:pPr>
      <w:r>
        <w:rPr>
          <w:lang w:eastAsia="en-GB"/>
        </w:rPr>
        <w:t xml:space="preserve">The following observations are </w:t>
      </w:r>
      <w:r w:rsidR="0042248D">
        <w:rPr>
          <w:lang w:eastAsia="en-GB"/>
        </w:rPr>
        <w:t>propositions</w:t>
      </w:r>
      <w:r>
        <w:rPr>
          <w:lang w:eastAsia="en-GB"/>
        </w:rPr>
        <w:t xml:space="preserve">, or hypothesis, that require testing with further inquiry and analysis, particularly before they become a foundation for policy action. </w:t>
      </w:r>
    </w:p>
    <w:p w14:paraId="05A85243" w14:textId="5D742231" w:rsidR="00E2638C" w:rsidRDefault="00E2638C" w:rsidP="00BF0DFF">
      <w:pPr>
        <w:pStyle w:val="Heading2"/>
        <w:rPr>
          <w:lang w:eastAsia="en-GB"/>
        </w:rPr>
      </w:pPr>
      <w:bookmarkStart w:id="3" w:name="_Toc163295748"/>
      <w:bookmarkStart w:id="4" w:name="_Toc163563831"/>
      <w:r>
        <w:rPr>
          <w:lang w:eastAsia="en-GB"/>
        </w:rPr>
        <w:t xml:space="preserve">The </w:t>
      </w:r>
      <w:r w:rsidRPr="00A01A1A">
        <w:t>imbalance</w:t>
      </w:r>
      <w:r>
        <w:rPr>
          <w:lang w:eastAsia="en-GB"/>
        </w:rPr>
        <w:t xml:space="preserve"> in the Australian industrial structure</w:t>
      </w:r>
      <w:bookmarkEnd w:id="3"/>
      <w:bookmarkEnd w:id="4"/>
      <w:r w:rsidR="00BB3E11">
        <w:rPr>
          <w:lang w:eastAsia="en-GB"/>
        </w:rPr>
        <w:t xml:space="preserve"> </w:t>
      </w:r>
    </w:p>
    <w:p w14:paraId="19C441FA" w14:textId="36E31953" w:rsidR="00A57B0F" w:rsidRDefault="00E2638C" w:rsidP="00BB3E11">
      <w:pPr>
        <w:rPr>
          <w:lang w:eastAsia="en-GB"/>
        </w:rPr>
      </w:pPr>
      <w:r>
        <w:rPr>
          <w:lang w:eastAsia="en-GB"/>
        </w:rPr>
        <w:t>Thirty-six Australian c</w:t>
      </w:r>
      <w:r w:rsidR="00A23D7B">
        <w:rPr>
          <w:lang w:eastAsia="en-GB"/>
        </w:rPr>
        <w:t>ompanies</w:t>
      </w:r>
      <w:r>
        <w:rPr>
          <w:lang w:eastAsia="en-GB"/>
        </w:rPr>
        <w:t xml:space="preserve"> rank </w:t>
      </w:r>
      <w:r w:rsidR="00CC51FE">
        <w:rPr>
          <w:lang w:eastAsia="en-GB"/>
        </w:rPr>
        <w:t xml:space="preserve">in the </w:t>
      </w:r>
      <w:r w:rsidRPr="0096548E">
        <w:rPr>
          <w:i/>
          <w:iCs/>
          <w:lang w:eastAsia="en-GB"/>
        </w:rPr>
        <w:t>Forbes Global 2000</w:t>
      </w:r>
      <w:r>
        <w:rPr>
          <w:lang w:eastAsia="en-GB"/>
        </w:rPr>
        <w:t xml:space="preserve">. </w:t>
      </w:r>
      <w:r w:rsidR="00333362">
        <w:rPr>
          <w:lang w:eastAsia="en-GB"/>
        </w:rPr>
        <w:t>In terms of sales, half are in the finance and retail sectors, which contain businesses not known for their R&amp;D intensity</w:t>
      </w:r>
      <w:r w:rsidR="00B521D1">
        <w:rPr>
          <w:lang w:eastAsia="en-GB"/>
        </w:rPr>
        <w:t xml:space="preserve">, although the “Big 4 banks” are all included in </w:t>
      </w:r>
      <w:r w:rsidR="00A941FD">
        <w:rPr>
          <w:lang w:eastAsia="en-GB"/>
        </w:rPr>
        <w:t xml:space="preserve">a list of </w:t>
      </w:r>
      <w:r w:rsidR="00B521D1">
        <w:rPr>
          <w:lang w:eastAsia="en-GB"/>
        </w:rPr>
        <w:t xml:space="preserve">the top 1,000 global R&amp;D investors. </w:t>
      </w:r>
    </w:p>
    <w:p w14:paraId="772B71AA" w14:textId="4BA7ADD0" w:rsidR="00A941FD" w:rsidRDefault="00333362" w:rsidP="00BB3E11">
      <w:pPr>
        <w:rPr>
          <w:lang w:eastAsia="en-GB"/>
        </w:rPr>
      </w:pPr>
      <w:r>
        <w:rPr>
          <w:lang w:eastAsia="en-GB"/>
        </w:rPr>
        <w:t xml:space="preserve">A further 38% are in </w:t>
      </w:r>
      <w:r w:rsidR="00A941FD">
        <w:rPr>
          <w:lang w:eastAsia="en-GB"/>
        </w:rPr>
        <w:t>resources, which undertake little reported R&amp;D.</w:t>
      </w:r>
    </w:p>
    <w:p w14:paraId="38CE5E4D" w14:textId="275C8287" w:rsidR="00DF21D8" w:rsidRDefault="00333362" w:rsidP="00BB3E11">
      <w:pPr>
        <w:rPr>
          <w:lang w:eastAsia="en-GB"/>
        </w:rPr>
      </w:pPr>
      <w:r>
        <w:rPr>
          <w:lang w:eastAsia="en-GB"/>
        </w:rPr>
        <w:t xml:space="preserve">Only 10% of </w:t>
      </w:r>
      <w:r w:rsidR="00A941FD">
        <w:rPr>
          <w:lang w:eastAsia="en-GB"/>
        </w:rPr>
        <w:t xml:space="preserve">the </w:t>
      </w:r>
      <w:r w:rsidR="0096548E">
        <w:rPr>
          <w:lang w:eastAsia="en-GB"/>
        </w:rPr>
        <w:t xml:space="preserve">Australian </w:t>
      </w:r>
      <w:r w:rsidR="0096548E" w:rsidRPr="0096548E">
        <w:rPr>
          <w:i/>
          <w:iCs/>
          <w:lang w:eastAsia="en-GB"/>
        </w:rPr>
        <w:t>Forbes Global 2000</w:t>
      </w:r>
      <w:r w:rsidR="0096548E">
        <w:rPr>
          <w:lang w:eastAsia="en-GB"/>
        </w:rPr>
        <w:t xml:space="preserve"> </w:t>
      </w:r>
      <w:r>
        <w:rPr>
          <w:lang w:eastAsia="en-GB"/>
        </w:rPr>
        <w:t>are in sec</w:t>
      </w:r>
      <w:r w:rsidR="000676B5">
        <w:rPr>
          <w:lang w:eastAsia="en-GB"/>
        </w:rPr>
        <w:t>tor</w:t>
      </w:r>
      <w:r>
        <w:rPr>
          <w:lang w:eastAsia="en-GB"/>
        </w:rPr>
        <w:t xml:space="preserve">s that are </w:t>
      </w:r>
      <w:r w:rsidR="0096548E">
        <w:rPr>
          <w:lang w:eastAsia="en-GB"/>
        </w:rPr>
        <w:t xml:space="preserve">usually </w:t>
      </w:r>
      <w:r>
        <w:rPr>
          <w:lang w:eastAsia="en-GB"/>
        </w:rPr>
        <w:t xml:space="preserve">considered </w:t>
      </w:r>
      <w:r w:rsidR="000676B5">
        <w:rPr>
          <w:lang w:eastAsia="en-GB"/>
        </w:rPr>
        <w:t>to be R&amp;D intensive</w:t>
      </w:r>
      <w:r w:rsidR="00BA6FC9">
        <w:rPr>
          <w:lang w:eastAsia="en-GB"/>
        </w:rPr>
        <w:t>—</w:t>
      </w:r>
      <w:r w:rsidR="0022686F">
        <w:rPr>
          <w:lang w:eastAsia="en-GB"/>
        </w:rPr>
        <w:t xml:space="preserve">technology, </w:t>
      </w:r>
      <w:r w:rsidR="000676B5">
        <w:rPr>
          <w:lang w:eastAsia="en-GB"/>
        </w:rPr>
        <w:t xml:space="preserve">medical, </w:t>
      </w:r>
      <w:r w:rsidR="0022686F">
        <w:rPr>
          <w:lang w:eastAsia="en-GB"/>
        </w:rPr>
        <w:t>and ma</w:t>
      </w:r>
      <w:r w:rsidR="000676B5">
        <w:rPr>
          <w:lang w:eastAsia="en-GB"/>
        </w:rPr>
        <w:t>nufacturing</w:t>
      </w:r>
      <w:r w:rsidR="00A941FD">
        <w:rPr>
          <w:lang w:eastAsia="en-GB"/>
        </w:rPr>
        <w:t xml:space="preserve">. </w:t>
      </w:r>
    </w:p>
    <w:p w14:paraId="3F71E81F" w14:textId="1ED27A7C" w:rsidR="000445CE" w:rsidRDefault="00A941FD" w:rsidP="00BB3E11">
      <w:pPr>
        <w:rPr>
          <w:lang w:eastAsia="en-GB"/>
        </w:rPr>
      </w:pPr>
      <w:r>
        <w:rPr>
          <w:lang w:eastAsia="en-GB"/>
        </w:rPr>
        <w:t>However, c</w:t>
      </w:r>
      <w:r w:rsidR="00A23D7B">
        <w:rPr>
          <w:lang w:eastAsia="en-GB"/>
        </w:rPr>
        <w:t>urrently</w:t>
      </w:r>
      <w:r w:rsidR="00087F11">
        <w:rPr>
          <w:lang w:eastAsia="en-GB"/>
        </w:rPr>
        <w:t>,</w:t>
      </w:r>
      <w:r w:rsidR="00563384">
        <w:rPr>
          <w:lang w:eastAsia="en-GB"/>
        </w:rPr>
        <w:t xml:space="preserve"> </w:t>
      </w:r>
      <w:r>
        <w:rPr>
          <w:lang w:eastAsia="en-GB"/>
        </w:rPr>
        <w:t xml:space="preserve">there are only </w:t>
      </w:r>
      <w:r w:rsidR="00087F11">
        <w:rPr>
          <w:lang w:eastAsia="en-GB"/>
        </w:rPr>
        <w:t>1</w:t>
      </w:r>
      <w:r w:rsidR="00563384">
        <w:rPr>
          <w:lang w:eastAsia="en-GB"/>
        </w:rPr>
        <w:t xml:space="preserve">6 </w:t>
      </w:r>
      <w:r w:rsidR="00087F11">
        <w:rPr>
          <w:lang w:eastAsia="en-GB"/>
        </w:rPr>
        <w:t>technology</w:t>
      </w:r>
      <w:r w:rsidR="00563384">
        <w:rPr>
          <w:lang w:eastAsia="en-GB"/>
        </w:rPr>
        <w:t xml:space="preserve"> intensive </w:t>
      </w:r>
      <w:r w:rsidR="00087F11">
        <w:rPr>
          <w:lang w:eastAsia="en-GB"/>
        </w:rPr>
        <w:t>companies</w:t>
      </w:r>
      <w:r w:rsidR="00DF21D8">
        <w:rPr>
          <w:lang w:eastAsia="en-GB"/>
        </w:rPr>
        <w:t xml:space="preserve"> in the ASX 200</w:t>
      </w:r>
      <w:r w:rsidR="0042248D">
        <w:rPr>
          <w:lang w:eastAsia="en-GB"/>
        </w:rPr>
        <w:t>. In 2022-23 these companies</w:t>
      </w:r>
      <w:r w:rsidR="00563384">
        <w:rPr>
          <w:lang w:eastAsia="en-GB"/>
        </w:rPr>
        <w:t>, listed below, had</w:t>
      </w:r>
      <w:r w:rsidR="0042248D">
        <w:rPr>
          <w:lang w:eastAsia="en-GB"/>
        </w:rPr>
        <w:t xml:space="preserve"> a combined R&amp;D expenditure of $</w:t>
      </w:r>
      <w:r w:rsidR="00314DA8">
        <w:rPr>
          <w:lang w:eastAsia="en-GB"/>
        </w:rPr>
        <w:t>A</w:t>
      </w:r>
      <w:r w:rsidR="0042248D">
        <w:rPr>
          <w:lang w:eastAsia="en-GB"/>
        </w:rPr>
        <w:t>3.4 billion</w:t>
      </w:r>
      <w:r w:rsidR="00563384">
        <w:rPr>
          <w:lang w:eastAsia="en-GB"/>
        </w:rPr>
        <w:t xml:space="preserve"> and R&amp;D intensity of </w:t>
      </w:r>
      <w:r>
        <w:rPr>
          <w:lang w:eastAsia="en-GB"/>
        </w:rPr>
        <w:t xml:space="preserve">11.4%. </w:t>
      </w:r>
    </w:p>
    <w:tbl>
      <w:tblPr>
        <w:tblStyle w:val="PlainTable2"/>
        <w:tblW w:w="5000" w:type="pct"/>
        <w:tblLook w:val="0620" w:firstRow="1" w:lastRow="0" w:firstColumn="0" w:lastColumn="0" w:noHBand="1" w:noVBand="1"/>
      </w:tblPr>
      <w:tblGrid>
        <w:gridCol w:w="1969"/>
        <w:gridCol w:w="2749"/>
        <w:gridCol w:w="1435"/>
        <w:gridCol w:w="1434"/>
        <w:gridCol w:w="1434"/>
      </w:tblGrid>
      <w:tr w:rsidR="00314DA8" w:rsidRPr="00314DA8" w14:paraId="5043832D" w14:textId="77777777" w:rsidTr="00314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91" w:type="pct"/>
            <w:noWrap/>
            <w:hideMark/>
          </w:tcPr>
          <w:p w14:paraId="032E406E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Company</w:t>
            </w:r>
          </w:p>
        </w:tc>
        <w:tc>
          <w:tcPr>
            <w:tcW w:w="1523" w:type="pct"/>
            <w:noWrap/>
            <w:hideMark/>
          </w:tcPr>
          <w:p w14:paraId="206A80D3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Sector</w:t>
            </w:r>
          </w:p>
        </w:tc>
        <w:tc>
          <w:tcPr>
            <w:tcW w:w="795" w:type="pct"/>
            <w:noWrap/>
            <w:hideMark/>
          </w:tcPr>
          <w:p w14:paraId="30DCCF5C" w14:textId="77777777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R&amp;D ($M) </w:t>
            </w:r>
          </w:p>
        </w:tc>
        <w:tc>
          <w:tcPr>
            <w:tcW w:w="795" w:type="pct"/>
            <w:noWrap/>
            <w:hideMark/>
          </w:tcPr>
          <w:p w14:paraId="220BC973" w14:textId="191EB724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Revenue </w:t>
            </w:r>
            <w:r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(B)</w:t>
            </w: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</w:p>
        </w:tc>
        <w:tc>
          <w:tcPr>
            <w:tcW w:w="795" w:type="pct"/>
            <w:noWrap/>
            <w:hideMark/>
          </w:tcPr>
          <w:p w14:paraId="393C1021" w14:textId="77777777" w:rsidR="00314DA8" w:rsidRPr="00314DA8" w:rsidRDefault="00314DA8" w:rsidP="00407647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RD Intensity</w:t>
            </w:r>
          </w:p>
        </w:tc>
      </w:tr>
      <w:tr w:rsidR="00314DA8" w:rsidRPr="00314DA8" w14:paraId="16C8F707" w14:textId="77777777" w:rsidTr="00314DA8">
        <w:tc>
          <w:tcPr>
            <w:tcW w:w="1091" w:type="pct"/>
            <w:noWrap/>
            <w:hideMark/>
          </w:tcPr>
          <w:p w14:paraId="490C303C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Aristocrat</w:t>
            </w:r>
          </w:p>
        </w:tc>
        <w:tc>
          <w:tcPr>
            <w:tcW w:w="1523" w:type="pct"/>
            <w:noWrap/>
            <w:hideMark/>
          </w:tcPr>
          <w:p w14:paraId="73A3544C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Technology (games)</w:t>
            </w:r>
          </w:p>
        </w:tc>
        <w:tc>
          <w:tcPr>
            <w:tcW w:w="795" w:type="pct"/>
            <w:noWrap/>
            <w:hideMark/>
          </w:tcPr>
          <w:p w14:paraId="5BE5D407" w14:textId="4B695476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834.70 </w:t>
            </w:r>
          </w:p>
        </w:tc>
        <w:tc>
          <w:tcPr>
            <w:tcW w:w="795" w:type="pct"/>
            <w:noWrap/>
            <w:hideMark/>
          </w:tcPr>
          <w:p w14:paraId="1B040A74" w14:textId="1EBDE1D0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6.30 </w:t>
            </w:r>
          </w:p>
        </w:tc>
        <w:tc>
          <w:tcPr>
            <w:tcW w:w="795" w:type="pct"/>
            <w:noWrap/>
            <w:hideMark/>
          </w:tcPr>
          <w:p w14:paraId="0511CBED" w14:textId="77777777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13.30%</w:t>
            </w:r>
          </w:p>
        </w:tc>
      </w:tr>
      <w:tr w:rsidR="00314DA8" w:rsidRPr="00314DA8" w14:paraId="4EA8ED66" w14:textId="77777777" w:rsidTr="00314DA8">
        <w:tc>
          <w:tcPr>
            <w:tcW w:w="1091" w:type="pct"/>
            <w:noWrap/>
            <w:hideMark/>
          </w:tcPr>
          <w:p w14:paraId="36B9764D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Computershare</w:t>
            </w:r>
          </w:p>
        </w:tc>
        <w:tc>
          <w:tcPr>
            <w:tcW w:w="1523" w:type="pct"/>
            <w:noWrap/>
            <w:hideMark/>
          </w:tcPr>
          <w:p w14:paraId="03FC28A4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Technology</w:t>
            </w:r>
          </w:p>
        </w:tc>
        <w:tc>
          <w:tcPr>
            <w:tcW w:w="795" w:type="pct"/>
            <w:noWrap/>
            <w:hideMark/>
          </w:tcPr>
          <w:p w14:paraId="7BAFC5AF" w14:textId="255D025A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577.00 </w:t>
            </w:r>
          </w:p>
        </w:tc>
        <w:tc>
          <w:tcPr>
            <w:tcW w:w="795" w:type="pct"/>
            <w:noWrap/>
            <w:hideMark/>
          </w:tcPr>
          <w:p w14:paraId="213FCDED" w14:textId="23815821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4.81 </w:t>
            </w:r>
          </w:p>
        </w:tc>
        <w:tc>
          <w:tcPr>
            <w:tcW w:w="795" w:type="pct"/>
            <w:noWrap/>
            <w:hideMark/>
          </w:tcPr>
          <w:p w14:paraId="27CBC09C" w14:textId="77777777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2.00%</w:t>
            </w:r>
          </w:p>
        </w:tc>
      </w:tr>
      <w:tr w:rsidR="00314DA8" w:rsidRPr="00314DA8" w14:paraId="7B03FDE5" w14:textId="77777777" w:rsidTr="00314DA8">
        <w:tc>
          <w:tcPr>
            <w:tcW w:w="1091" w:type="pct"/>
            <w:noWrap/>
            <w:hideMark/>
          </w:tcPr>
          <w:p w14:paraId="41A83BE5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Xero</w:t>
            </w:r>
          </w:p>
        </w:tc>
        <w:tc>
          <w:tcPr>
            <w:tcW w:w="1523" w:type="pct"/>
            <w:noWrap/>
            <w:hideMark/>
          </w:tcPr>
          <w:p w14:paraId="6E0E91DC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Technology</w:t>
            </w:r>
          </w:p>
        </w:tc>
        <w:tc>
          <w:tcPr>
            <w:tcW w:w="795" w:type="pct"/>
            <w:noWrap/>
            <w:hideMark/>
          </w:tcPr>
          <w:p w14:paraId="3FFEA4AD" w14:textId="04E444DF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495.80 </w:t>
            </w:r>
          </w:p>
        </w:tc>
        <w:tc>
          <w:tcPr>
            <w:tcW w:w="795" w:type="pct"/>
            <w:noWrap/>
            <w:hideMark/>
          </w:tcPr>
          <w:p w14:paraId="27004F26" w14:textId="61BED2D2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1.31 </w:t>
            </w:r>
          </w:p>
        </w:tc>
        <w:tc>
          <w:tcPr>
            <w:tcW w:w="795" w:type="pct"/>
            <w:noWrap/>
            <w:hideMark/>
          </w:tcPr>
          <w:p w14:paraId="51E93786" w14:textId="77777777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6.80%</w:t>
            </w:r>
          </w:p>
        </w:tc>
      </w:tr>
      <w:tr w:rsidR="00314DA8" w:rsidRPr="00314DA8" w14:paraId="7E57CA85" w14:textId="77777777" w:rsidTr="00314DA8">
        <w:tc>
          <w:tcPr>
            <w:tcW w:w="1091" w:type="pct"/>
            <w:noWrap/>
            <w:hideMark/>
          </w:tcPr>
          <w:p w14:paraId="633041CF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TPG Telecom</w:t>
            </w:r>
          </w:p>
        </w:tc>
        <w:tc>
          <w:tcPr>
            <w:tcW w:w="1523" w:type="pct"/>
            <w:noWrap/>
            <w:hideMark/>
          </w:tcPr>
          <w:p w14:paraId="4D5999B6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Technology (Communications)</w:t>
            </w:r>
          </w:p>
        </w:tc>
        <w:tc>
          <w:tcPr>
            <w:tcW w:w="795" w:type="pct"/>
            <w:noWrap/>
            <w:hideMark/>
          </w:tcPr>
          <w:p w14:paraId="016AAA19" w14:textId="4045309D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405.00 </w:t>
            </w:r>
          </w:p>
        </w:tc>
        <w:tc>
          <w:tcPr>
            <w:tcW w:w="795" w:type="pct"/>
            <w:noWrap/>
            <w:hideMark/>
          </w:tcPr>
          <w:p w14:paraId="740C1F6D" w14:textId="5AE225A2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5.53 </w:t>
            </w:r>
          </w:p>
        </w:tc>
        <w:tc>
          <w:tcPr>
            <w:tcW w:w="795" w:type="pct"/>
            <w:noWrap/>
            <w:hideMark/>
          </w:tcPr>
          <w:p w14:paraId="101E8818" w14:textId="77777777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7.30%</w:t>
            </w:r>
          </w:p>
        </w:tc>
      </w:tr>
      <w:tr w:rsidR="00314DA8" w:rsidRPr="00314DA8" w14:paraId="00EDEF29" w14:textId="77777777" w:rsidTr="00314DA8">
        <w:tc>
          <w:tcPr>
            <w:tcW w:w="1091" w:type="pct"/>
            <w:noWrap/>
            <w:hideMark/>
          </w:tcPr>
          <w:p w14:paraId="09014D4D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Light &amp; Wonder</w:t>
            </w:r>
          </w:p>
        </w:tc>
        <w:tc>
          <w:tcPr>
            <w:tcW w:w="1523" w:type="pct"/>
            <w:noWrap/>
            <w:hideMark/>
          </w:tcPr>
          <w:p w14:paraId="11FF358D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Technology (games)</w:t>
            </w:r>
          </w:p>
        </w:tc>
        <w:tc>
          <w:tcPr>
            <w:tcW w:w="795" w:type="pct"/>
            <w:noWrap/>
            <w:hideMark/>
          </w:tcPr>
          <w:p w14:paraId="06B62D01" w14:textId="33576B02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334.50 </w:t>
            </w:r>
          </w:p>
        </w:tc>
        <w:tc>
          <w:tcPr>
            <w:tcW w:w="795" w:type="pct"/>
            <w:noWrap/>
            <w:hideMark/>
          </w:tcPr>
          <w:p w14:paraId="15E93D7B" w14:textId="3AC18504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4.26 </w:t>
            </w:r>
          </w:p>
        </w:tc>
        <w:tc>
          <w:tcPr>
            <w:tcW w:w="795" w:type="pct"/>
            <w:noWrap/>
            <w:hideMark/>
          </w:tcPr>
          <w:p w14:paraId="2FE8616A" w14:textId="77777777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7.90%</w:t>
            </w:r>
          </w:p>
        </w:tc>
      </w:tr>
      <w:tr w:rsidR="00314DA8" w:rsidRPr="00314DA8" w14:paraId="18C1F5D9" w14:textId="77777777" w:rsidTr="00314DA8">
        <w:tc>
          <w:tcPr>
            <w:tcW w:w="1091" w:type="pct"/>
            <w:noWrap/>
            <w:hideMark/>
          </w:tcPr>
          <w:p w14:paraId="42FCAE98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WiseTech</w:t>
            </w:r>
          </w:p>
        </w:tc>
        <w:tc>
          <w:tcPr>
            <w:tcW w:w="1523" w:type="pct"/>
            <w:noWrap/>
            <w:hideMark/>
          </w:tcPr>
          <w:p w14:paraId="72C2C79F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Technology</w:t>
            </w:r>
          </w:p>
        </w:tc>
        <w:tc>
          <w:tcPr>
            <w:tcW w:w="795" w:type="pct"/>
            <w:noWrap/>
            <w:hideMark/>
          </w:tcPr>
          <w:p w14:paraId="3571123A" w14:textId="4FCC9FA2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185.80 </w:t>
            </w:r>
          </w:p>
        </w:tc>
        <w:tc>
          <w:tcPr>
            <w:tcW w:w="795" w:type="pct"/>
            <w:noWrap/>
            <w:hideMark/>
          </w:tcPr>
          <w:p w14:paraId="4DD51176" w14:textId="0A367278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0.82 </w:t>
            </w:r>
          </w:p>
        </w:tc>
        <w:tc>
          <w:tcPr>
            <w:tcW w:w="795" w:type="pct"/>
            <w:noWrap/>
            <w:hideMark/>
          </w:tcPr>
          <w:p w14:paraId="020BC645" w14:textId="77777777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22.70%</w:t>
            </w:r>
          </w:p>
        </w:tc>
      </w:tr>
      <w:tr w:rsidR="00314DA8" w:rsidRPr="00314DA8" w14:paraId="38E37E8B" w14:textId="77777777" w:rsidTr="00314DA8">
        <w:tc>
          <w:tcPr>
            <w:tcW w:w="1091" w:type="pct"/>
            <w:noWrap/>
            <w:hideMark/>
          </w:tcPr>
          <w:p w14:paraId="640142D3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Seek </w:t>
            </w:r>
          </w:p>
        </w:tc>
        <w:tc>
          <w:tcPr>
            <w:tcW w:w="1523" w:type="pct"/>
            <w:noWrap/>
            <w:hideMark/>
          </w:tcPr>
          <w:p w14:paraId="1F6D83F4" w14:textId="60B8996E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Technology (online</w:t>
            </w:r>
            <w:r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m</w:t>
            </w: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arketplace)</w:t>
            </w:r>
          </w:p>
        </w:tc>
        <w:tc>
          <w:tcPr>
            <w:tcW w:w="795" w:type="pct"/>
            <w:noWrap/>
            <w:hideMark/>
          </w:tcPr>
          <w:p w14:paraId="476BDF50" w14:textId="284BEF6C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151.70 </w:t>
            </w:r>
          </w:p>
        </w:tc>
        <w:tc>
          <w:tcPr>
            <w:tcW w:w="795" w:type="pct"/>
            <w:noWrap/>
            <w:hideMark/>
          </w:tcPr>
          <w:p w14:paraId="1062D855" w14:textId="1CB24CCB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1.23 </w:t>
            </w:r>
          </w:p>
        </w:tc>
        <w:tc>
          <w:tcPr>
            <w:tcW w:w="795" w:type="pct"/>
            <w:noWrap/>
            <w:hideMark/>
          </w:tcPr>
          <w:p w14:paraId="3B11E74E" w14:textId="77777777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2.40%</w:t>
            </w:r>
          </w:p>
        </w:tc>
      </w:tr>
      <w:tr w:rsidR="00314DA8" w:rsidRPr="00314DA8" w14:paraId="5EC0DCF2" w14:textId="77777777" w:rsidTr="00314DA8">
        <w:tc>
          <w:tcPr>
            <w:tcW w:w="1091" w:type="pct"/>
            <w:noWrap/>
            <w:hideMark/>
          </w:tcPr>
          <w:p w14:paraId="0A7A60DB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Life360</w:t>
            </w:r>
          </w:p>
        </w:tc>
        <w:tc>
          <w:tcPr>
            <w:tcW w:w="1523" w:type="pct"/>
            <w:noWrap/>
            <w:hideMark/>
          </w:tcPr>
          <w:p w14:paraId="13E27A8B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Technology (platform)</w:t>
            </w:r>
          </w:p>
        </w:tc>
        <w:tc>
          <w:tcPr>
            <w:tcW w:w="795" w:type="pct"/>
            <w:noWrap/>
            <w:hideMark/>
          </w:tcPr>
          <w:p w14:paraId="7283D6D2" w14:textId="47C5DEEA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148.10 </w:t>
            </w:r>
          </w:p>
        </w:tc>
        <w:tc>
          <w:tcPr>
            <w:tcW w:w="795" w:type="pct"/>
            <w:noWrap/>
            <w:hideMark/>
          </w:tcPr>
          <w:p w14:paraId="46D53C8F" w14:textId="3FFC1CFE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0.45 </w:t>
            </w:r>
          </w:p>
        </w:tc>
        <w:tc>
          <w:tcPr>
            <w:tcW w:w="795" w:type="pct"/>
            <w:noWrap/>
            <w:hideMark/>
          </w:tcPr>
          <w:p w14:paraId="7D8126F7" w14:textId="77777777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33.20%</w:t>
            </w:r>
          </w:p>
        </w:tc>
      </w:tr>
      <w:tr w:rsidR="00314DA8" w:rsidRPr="00314DA8" w14:paraId="5A1B951B" w14:textId="77777777" w:rsidTr="00314DA8">
        <w:tc>
          <w:tcPr>
            <w:tcW w:w="1091" w:type="pct"/>
            <w:noWrap/>
            <w:hideMark/>
          </w:tcPr>
          <w:p w14:paraId="27E91CA3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Webjet Limited</w:t>
            </w:r>
          </w:p>
        </w:tc>
        <w:tc>
          <w:tcPr>
            <w:tcW w:w="1523" w:type="pct"/>
            <w:noWrap/>
            <w:hideMark/>
          </w:tcPr>
          <w:p w14:paraId="34FC6232" w14:textId="571C9AFA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Technology (online</w:t>
            </w:r>
            <w:r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b</w:t>
            </w: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ooking)</w:t>
            </w:r>
          </w:p>
        </w:tc>
        <w:tc>
          <w:tcPr>
            <w:tcW w:w="795" w:type="pct"/>
            <w:noWrap/>
            <w:hideMark/>
          </w:tcPr>
          <w:p w14:paraId="514FEEDB" w14:textId="4C053DF6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74.90 </w:t>
            </w:r>
          </w:p>
        </w:tc>
        <w:tc>
          <w:tcPr>
            <w:tcW w:w="795" w:type="pct"/>
            <w:noWrap/>
            <w:hideMark/>
          </w:tcPr>
          <w:p w14:paraId="028B2779" w14:textId="7A285CC1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0.36 </w:t>
            </w:r>
          </w:p>
        </w:tc>
        <w:tc>
          <w:tcPr>
            <w:tcW w:w="795" w:type="pct"/>
            <w:noWrap/>
            <w:hideMark/>
          </w:tcPr>
          <w:p w14:paraId="2F75ED41" w14:textId="77777777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20.60%</w:t>
            </w:r>
          </w:p>
        </w:tc>
      </w:tr>
      <w:tr w:rsidR="00314DA8" w:rsidRPr="00314DA8" w14:paraId="6D8217C0" w14:textId="77777777" w:rsidTr="00314DA8">
        <w:tc>
          <w:tcPr>
            <w:tcW w:w="1091" w:type="pct"/>
            <w:noWrap/>
            <w:hideMark/>
          </w:tcPr>
          <w:p w14:paraId="6F340A04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Codan</w:t>
            </w:r>
            <w:proofErr w:type="spellEnd"/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Limited</w:t>
            </w:r>
          </w:p>
        </w:tc>
        <w:tc>
          <w:tcPr>
            <w:tcW w:w="1523" w:type="pct"/>
            <w:noWrap/>
            <w:hideMark/>
          </w:tcPr>
          <w:p w14:paraId="3A713A28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Technology</w:t>
            </w:r>
          </w:p>
        </w:tc>
        <w:tc>
          <w:tcPr>
            <w:tcW w:w="795" w:type="pct"/>
            <w:noWrap/>
            <w:hideMark/>
          </w:tcPr>
          <w:p w14:paraId="24D0F05E" w14:textId="408ECD37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46.55 </w:t>
            </w:r>
          </w:p>
        </w:tc>
        <w:tc>
          <w:tcPr>
            <w:tcW w:w="795" w:type="pct"/>
            <w:noWrap/>
            <w:hideMark/>
          </w:tcPr>
          <w:p w14:paraId="7EA205D6" w14:textId="57C940F0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0.46 </w:t>
            </w:r>
          </w:p>
        </w:tc>
        <w:tc>
          <w:tcPr>
            <w:tcW w:w="795" w:type="pct"/>
            <w:noWrap/>
            <w:hideMark/>
          </w:tcPr>
          <w:p w14:paraId="28C6CBB8" w14:textId="77777777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10.20%</w:t>
            </w:r>
          </w:p>
        </w:tc>
      </w:tr>
      <w:tr w:rsidR="00314DA8" w:rsidRPr="00314DA8" w14:paraId="6365B31E" w14:textId="77777777" w:rsidTr="00314DA8">
        <w:tc>
          <w:tcPr>
            <w:tcW w:w="1091" w:type="pct"/>
            <w:noWrap/>
            <w:hideMark/>
          </w:tcPr>
          <w:p w14:paraId="32D60CA6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Altium </w:t>
            </w:r>
          </w:p>
        </w:tc>
        <w:tc>
          <w:tcPr>
            <w:tcW w:w="1523" w:type="pct"/>
            <w:noWrap/>
            <w:hideMark/>
          </w:tcPr>
          <w:p w14:paraId="58B0055C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Technology</w:t>
            </w:r>
          </w:p>
        </w:tc>
        <w:tc>
          <w:tcPr>
            <w:tcW w:w="795" w:type="pct"/>
            <w:noWrap/>
            <w:hideMark/>
          </w:tcPr>
          <w:p w14:paraId="73CA7814" w14:textId="0B10EDFD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44.34 </w:t>
            </w:r>
          </w:p>
        </w:tc>
        <w:tc>
          <w:tcPr>
            <w:tcW w:w="795" w:type="pct"/>
            <w:noWrap/>
            <w:hideMark/>
          </w:tcPr>
          <w:p w14:paraId="396D996B" w14:textId="00E3176A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0.40 </w:t>
            </w:r>
          </w:p>
        </w:tc>
        <w:tc>
          <w:tcPr>
            <w:tcW w:w="795" w:type="pct"/>
            <w:noWrap/>
            <w:hideMark/>
          </w:tcPr>
          <w:p w14:paraId="3CA364FB" w14:textId="77777777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11.20%</w:t>
            </w:r>
          </w:p>
        </w:tc>
      </w:tr>
      <w:tr w:rsidR="00314DA8" w:rsidRPr="00314DA8" w14:paraId="78FB4AA2" w14:textId="77777777" w:rsidTr="00314DA8">
        <w:tc>
          <w:tcPr>
            <w:tcW w:w="1091" w:type="pct"/>
            <w:noWrap/>
            <w:hideMark/>
          </w:tcPr>
          <w:p w14:paraId="4F95801B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Technology One </w:t>
            </w:r>
          </w:p>
        </w:tc>
        <w:tc>
          <w:tcPr>
            <w:tcW w:w="1523" w:type="pct"/>
            <w:noWrap/>
            <w:hideMark/>
          </w:tcPr>
          <w:p w14:paraId="35606F77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Technology</w:t>
            </w:r>
          </w:p>
        </w:tc>
        <w:tc>
          <w:tcPr>
            <w:tcW w:w="795" w:type="pct"/>
            <w:noWrap/>
            <w:hideMark/>
          </w:tcPr>
          <w:p w14:paraId="4FA0F209" w14:textId="75698679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34.06 </w:t>
            </w:r>
          </w:p>
        </w:tc>
        <w:tc>
          <w:tcPr>
            <w:tcW w:w="795" w:type="pct"/>
            <w:noWrap/>
            <w:hideMark/>
          </w:tcPr>
          <w:p w14:paraId="6C7219E2" w14:textId="71BB563C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0.43 </w:t>
            </w:r>
          </w:p>
        </w:tc>
        <w:tc>
          <w:tcPr>
            <w:tcW w:w="795" w:type="pct"/>
            <w:noWrap/>
            <w:hideMark/>
          </w:tcPr>
          <w:p w14:paraId="7057F267" w14:textId="77777777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7.90%</w:t>
            </w:r>
          </w:p>
        </w:tc>
      </w:tr>
      <w:tr w:rsidR="00314DA8" w:rsidRPr="00314DA8" w14:paraId="1F9BF429" w14:textId="77777777" w:rsidTr="00314DA8">
        <w:tc>
          <w:tcPr>
            <w:tcW w:w="1091" w:type="pct"/>
            <w:noWrap/>
            <w:hideMark/>
          </w:tcPr>
          <w:p w14:paraId="5B6B145F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SiteMinder</w:t>
            </w:r>
          </w:p>
        </w:tc>
        <w:tc>
          <w:tcPr>
            <w:tcW w:w="1523" w:type="pct"/>
            <w:noWrap/>
            <w:hideMark/>
          </w:tcPr>
          <w:p w14:paraId="35F97387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Technology (platform)</w:t>
            </w:r>
          </w:p>
        </w:tc>
        <w:tc>
          <w:tcPr>
            <w:tcW w:w="795" w:type="pct"/>
            <w:noWrap/>
            <w:hideMark/>
          </w:tcPr>
          <w:p w14:paraId="3DD1D4EA" w14:textId="4F01DCAA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29.82 </w:t>
            </w:r>
          </w:p>
        </w:tc>
        <w:tc>
          <w:tcPr>
            <w:tcW w:w="795" w:type="pct"/>
            <w:noWrap/>
            <w:hideMark/>
          </w:tcPr>
          <w:p w14:paraId="35E1EACD" w14:textId="05C1E052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1.15 </w:t>
            </w:r>
          </w:p>
        </w:tc>
        <w:tc>
          <w:tcPr>
            <w:tcW w:w="795" w:type="pct"/>
            <w:noWrap/>
            <w:hideMark/>
          </w:tcPr>
          <w:p w14:paraId="36F9937D" w14:textId="77777777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19.70%</w:t>
            </w:r>
          </w:p>
        </w:tc>
      </w:tr>
      <w:tr w:rsidR="00314DA8" w:rsidRPr="00314DA8" w14:paraId="1F8199D1" w14:textId="77777777" w:rsidTr="00314DA8">
        <w:tc>
          <w:tcPr>
            <w:tcW w:w="1091" w:type="pct"/>
            <w:noWrap/>
            <w:hideMark/>
          </w:tcPr>
          <w:p w14:paraId="3CF282E4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Reliance Worldwide</w:t>
            </w:r>
          </w:p>
        </w:tc>
        <w:tc>
          <w:tcPr>
            <w:tcW w:w="1523" w:type="pct"/>
            <w:noWrap/>
            <w:hideMark/>
          </w:tcPr>
          <w:p w14:paraId="3E942EEF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Technology</w:t>
            </w:r>
          </w:p>
        </w:tc>
        <w:tc>
          <w:tcPr>
            <w:tcW w:w="795" w:type="pct"/>
            <w:noWrap/>
            <w:hideMark/>
          </w:tcPr>
          <w:p w14:paraId="55D952F3" w14:textId="701B21F9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17.79 </w:t>
            </w:r>
          </w:p>
        </w:tc>
        <w:tc>
          <w:tcPr>
            <w:tcW w:w="795" w:type="pct"/>
            <w:noWrap/>
            <w:hideMark/>
          </w:tcPr>
          <w:p w14:paraId="0D50231A" w14:textId="02A2A87C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1.87 </w:t>
            </w:r>
          </w:p>
        </w:tc>
        <w:tc>
          <w:tcPr>
            <w:tcW w:w="795" w:type="pct"/>
            <w:noWrap/>
            <w:hideMark/>
          </w:tcPr>
          <w:p w14:paraId="565F425C" w14:textId="77777777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1.00%</w:t>
            </w:r>
          </w:p>
        </w:tc>
      </w:tr>
      <w:tr w:rsidR="00314DA8" w:rsidRPr="00314DA8" w14:paraId="09564CB0" w14:textId="77777777" w:rsidTr="00314DA8">
        <w:tc>
          <w:tcPr>
            <w:tcW w:w="1091" w:type="pct"/>
            <w:noWrap/>
            <w:hideMark/>
          </w:tcPr>
          <w:p w14:paraId="49F6AAF6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Macquarie Technology</w:t>
            </w:r>
          </w:p>
        </w:tc>
        <w:tc>
          <w:tcPr>
            <w:tcW w:w="1523" w:type="pct"/>
            <w:noWrap/>
            <w:hideMark/>
          </w:tcPr>
          <w:p w14:paraId="17097683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Technology</w:t>
            </w:r>
          </w:p>
        </w:tc>
        <w:tc>
          <w:tcPr>
            <w:tcW w:w="795" w:type="pct"/>
            <w:noWrap/>
            <w:hideMark/>
          </w:tcPr>
          <w:p w14:paraId="61143C94" w14:textId="758D882D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8.94 </w:t>
            </w:r>
          </w:p>
        </w:tc>
        <w:tc>
          <w:tcPr>
            <w:tcW w:w="795" w:type="pct"/>
            <w:noWrap/>
            <w:hideMark/>
          </w:tcPr>
          <w:p w14:paraId="6064F46C" w14:textId="0BAE05C1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0.35 </w:t>
            </w:r>
          </w:p>
        </w:tc>
        <w:tc>
          <w:tcPr>
            <w:tcW w:w="795" w:type="pct"/>
            <w:noWrap/>
            <w:hideMark/>
          </w:tcPr>
          <w:p w14:paraId="1C01BA57" w14:textId="77777777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2.60%</w:t>
            </w:r>
          </w:p>
        </w:tc>
      </w:tr>
      <w:tr w:rsidR="00314DA8" w:rsidRPr="00314DA8" w14:paraId="24D2CC5B" w14:textId="77777777" w:rsidTr="00314DA8">
        <w:tc>
          <w:tcPr>
            <w:tcW w:w="1091" w:type="pct"/>
            <w:tcBorders>
              <w:bottom w:val="nil"/>
            </w:tcBorders>
            <w:noWrap/>
            <w:hideMark/>
          </w:tcPr>
          <w:p w14:paraId="4EC8AE70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Audinate</w:t>
            </w:r>
            <w:proofErr w:type="spellEnd"/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Group</w:t>
            </w:r>
          </w:p>
        </w:tc>
        <w:tc>
          <w:tcPr>
            <w:tcW w:w="1523" w:type="pct"/>
            <w:tcBorders>
              <w:bottom w:val="nil"/>
            </w:tcBorders>
            <w:noWrap/>
            <w:hideMark/>
          </w:tcPr>
          <w:p w14:paraId="03D8E8DD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Technology</w:t>
            </w:r>
          </w:p>
        </w:tc>
        <w:tc>
          <w:tcPr>
            <w:tcW w:w="795" w:type="pct"/>
            <w:tcBorders>
              <w:bottom w:val="nil"/>
            </w:tcBorders>
            <w:noWrap/>
            <w:hideMark/>
          </w:tcPr>
          <w:p w14:paraId="336A2886" w14:textId="39384586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8.68 </w:t>
            </w:r>
          </w:p>
        </w:tc>
        <w:tc>
          <w:tcPr>
            <w:tcW w:w="795" w:type="pct"/>
            <w:tcBorders>
              <w:bottom w:val="nil"/>
            </w:tcBorders>
            <w:noWrap/>
            <w:hideMark/>
          </w:tcPr>
          <w:p w14:paraId="0AA1660A" w14:textId="32AD4696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0.07 </w:t>
            </w:r>
          </w:p>
        </w:tc>
        <w:tc>
          <w:tcPr>
            <w:tcW w:w="795" w:type="pct"/>
            <w:tcBorders>
              <w:bottom w:val="nil"/>
            </w:tcBorders>
            <w:noWrap/>
            <w:hideMark/>
          </w:tcPr>
          <w:p w14:paraId="6CD43A70" w14:textId="77777777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12.50%</w:t>
            </w:r>
          </w:p>
        </w:tc>
      </w:tr>
      <w:tr w:rsidR="00314DA8" w:rsidRPr="00314DA8" w14:paraId="01644D75" w14:textId="77777777" w:rsidTr="00314DA8">
        <w:tc>
          <w:tcPr>
            <w:tcW w:w="1091" w:type="pct"/>
            <w:tcBorders>
              <w:top w:val="nil"/>
              <w:bottom w:val="single" w:sz="4" w:space="0" w:color="auto"/>
            </w:tcBorders>
            <w:noWrap/>
            <w:hideMark/>
          </w:tcPr>
          <w:p w14:paraId="45F687AA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NEXTDC</w:t>
            </w:r>
          </w:p>
        </w:tc>
        <w:tc>
          <w:tcPr>
            <w:tcW w:w="1523" w:type="pct"/>
            <w:tcBorders>
              <w:top w:val="nil"/>
              <w:bottom w:val="single" w:sz="4" w:space="0" w:color="auto"/>
            </w:tcBorders>
            <w:noWrap/>
            <w:hideMark/>
          </w:tcPr>
          <w:p w14:paraId="1DBF5EF9" w14:textId="77777777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Technology (data centres)</w:t>
            </w:r>
          </w:p>
        </w:tc>
        <w:tc>
          <w:tcPr>
            <w:tcW w:w="795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1AB449B" w14:textId="52337305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8.29 </w:t>
            </w:r>
          </w:p>
        </w:tc>
        <w:tc>
          <w:tcPr>
            <w:tcW w:w="795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273D975" w14:textId="3D716DA9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0.06 </w:t>
            </w:r>
          </w:p>
        </w:tc>
        <w:tc>
          <w:tcPr>
            <w:tcW w:w="795" w:type="pct"/>
            <w:tcBorders>
              <w:top w:val="nil"/>
              <w:bottom w:val="single" w:sz="4" w:space="0" w:color="auto"/>
            </w:tcBorders>
            <w:noWrap/>
            <w:hideMark/>
          </w:tcPr>
          <w:p w14:paraId="216A2D9B" w14:textId="77777777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2.30%</w:t>
            </w:r>
          </w:p>
        </w:tc>
      </w:tr>
      <w:tr w:rsidR="00314DA8" w:rsidRPr="00314DA8" w14:paraId="00AD4EDA" w14:textId="77777777" w:rsidTr="00314DA8">
        <w:tc>
          <w:tcPr>
            <w:tcW w:w="1091" w:type="pct"/>
            <w:tcBorders>
              <w:top w:val="single" w:sz="4" w:space="0" w:color="auto"/>
            </w:tcBorders>
            <w:noWrap/>
            <w:hideMark/>
          </w:tcPr>
          <w:p w14:paraId="7FFC332E" w14:textId="66E24E24" w:rsidR="00314DA8" w:rsidRPr="00314DA8" w:rsidRDefault="00314DA8" w:rsidP="0022686F">
            <w:pPr>
              <w:spacing w:before="0" w:after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Totals</w:t>
            </w:r>
          </w:p>
        </w:tc>
        <w:tc>
          <w:tcPr>
            <w:tcW w:w="1523" w:type="pct"/>
            <w:tcBorders>
              <w:top w:val="single" w:sz="4" w:space="0" w:color="auto"/>
            </w:tcBorders>
            <w:noWrap/>
            <w:hideMark/>
          </w:tcPr>
          <w:p w14:paraId="094455F7" w14:textId="77777777" w:rsidR="00314DA8" w:rsidRPr="00314DA8" w:rsidRDefault="00314DA8" w:rsidP="0022686F">
            <w:pPr>
              <w:spacing w:before="0" w:after="0"/>
              <w:rPr>
                <w:rFonts w:eastAsia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795" w:type="pct"/>
            <w:tcBorders>
              <w:top w:val="single" w:sz="4" w:space="0" w:color="auto"/>
            </w:tcBorders>
            <w:noWrap/>
            <w:hideMark/>
          </w:tcPr>
          <w:p w14:paraId="1DA2931D" w14:textId="0FC8EF73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3,405.95 </w:t>
            </w:r>
          </w:p>
        </w:tc>
        <w:tc>
          <w:tcPr>
            <w:tcW w:w="795" w:type="pct"/>
            <w:tcBorders>
              <w:top w:val="single" w:sz="4" w:space="0" w:color="auto"/>
            </w:tcBorders>
            <w:noWrap/>
            <w:hideMark/>
          </w:tcPr>
          <w:p w14:paraId="00F283B9" w14:textId="2C45F5AA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29.83 </w:t>
            </w:r>
          </w:p>
        </w:tc>
        <w:tc>
          <w:tcPr>
            <w:tcW w:w="795" w:type="pct"/>
            <w:tcBorders>
              <w:top w:val="single" w:sz="4" w:space="0" w:color="auto"/>
            </w:tcBorders>
            <w:noWrap/>
            <w:hideMark/>
          </w:tcPr>
          <w:p w14:paraId="72B40EEB" w14:textId="77777777" w:rsidR="00314DA8" w:rsidRPr="00314DA8" w:rsidRDefault="00314DA8" w:rsidP="0022686F">
            <w:pPr>
              <w:spacing w:before="0" w:after="0"/>
              <w:jc w:val="right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14DA8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11.42%</w:t>
            </w:r>
          </w:p>
        </w:tc>
      </w:tr>
    </w:tbl>
    <w:p w14:paraId="34326C05" w14:textId="115B938C" w:rsidR="0022686F" w:rsidRPr="0022686F" w:rsidRDefault="0022686F" w:rsidP="0022686F">
      <w:pPr>
        <w:spacing w:before="0" w:after="0"/>
        <w:rPr>
          <w:sz w:val="16"/>
          <w:szCs w:val="16"/>
          <w:lang w:eastAsia="en-GB"/>
        </w:rPr>
      </w:pPr>
      <w:r w:rsidRPr="0022686F">
        <w:rPr>
          <w:sz w:val="16"/>
          <w:szCs w:val="16"/>
          <w:lang w:eastAsia="en-GB"/>
        </w:rPr>
        <w:t xml:space="preserve">Source. ASX, </w:t>
      </w:r>
      <w:hyperlink r:id="rId9" w:history="1">
        <w:r w:rsidRPr="0022686F">
          <w:rPr>
            <w:rStyle w:val="Hyperlink"/>
            <w:sz w:val="16"/>
            <w:szCs w:val="16"/>
            <w:lang w:eastAsia="en-GB"/>
          </w:rPr>
          <w:t>https://finbox.com/LSE:GLEN/explorer/rd_exp_margin</w:t>
        </w:r>
      </w:hyperlink>
      <w:r w:rsidRPr="0022686F">
        <w:rPr>
          <w:sz w:val="16"/>
          <w:szCs w:val="16"/>
          <w:lang w:eastAsia="en-GB"/>
        </w:rPr>
        <w:t xml:space="preserve"> </w:t>
      </w:r>
    </w:p>
    <w:p w14:paraId="70F1AB90" w14:textId="1527D981" w:rsidR="00BB3E11" w:rsidRDefault="00407647" w:rsidP="00BB3E11">
      <w:pPr>
        <w:rPr>
          <w:lang w:eastAsia="en-GB"/>
        </w:rPr>
      </w:pPr>
      <w:r>
        <w:rPr>
          <w:lang w:eastAsia="en-GB"/>
        </w:rPr>
        <w:t xml:space="preserve">In 2022-23 </w:t>
      </w:r>
      <w:r w:rsidR="00314DA8">
        <w:rPr>
          <w:lang w:eastAsia="en-GB"/>
        </w:rPr>
        <w:t>Atlassian</w:t>
      </w:r>
      <w:r w:rsidR="0022686F">
        <w:rPr>
          <w:lang w:eastAsia="en-GB"/>
        </w:rPr>
        <w:t xml:space="preserve">, which is </w:t>
      </w:r>
      <w:r w:rsidR="00314DA8">
        <w:rPr>
          <w:lang w:eastAsia="en-GB"/>
        </w:rPr>
        <w:t xml:space="preserve">listed </w:t>
      </w:r>
      <w:r w:rsidR="0022686F">
        <w:rPr>
          <w:lang w:eastAsia="en-GB"/>
        </w:rPr>
        <w:t>o</w:t>
      </w:r>
      <w:r w:rsidR="00314DA8">
        <w:rPr>
          <w:lang w:eastAsia="en-GB"/>
        </w:rPr>
        <w:t>n the NYSE</w:t>
      </w:r>
      <w:r w:rsidR="00247CE3">
        <w:rPr>
          <w:lang w:eastAsia="en-GB"/>
        </w:rPr>
        <w:t xml:space="preserve"> reported spending $2.8 billion on R&amp;D</w:t>
      </w:r>
      <w:r w:rsidR="00595271">
        <w:rPr>
          <w:lang w:eastAsia="en-GB"/>
        </w:rPr>
        <w:t xml:space="preserve"> (52.9% of revenue). </w:t>
      </w:r>
      <w:r w:rsidR="00314DA8">
        <w:rPr>
          <w:lang w:eastAsia="en-GB"/>
        </w:rPr>
        <w:t xml:space="preserve">Very little of this is spent in Australia. </w:t>
      </w:r>
      <w:r w:rsidR="000445CE">
        <w:rPr>
          <w:lang w:eastAsia="en-GB"/>
        </w:rPr>
        <w:t>In Communications</w:t>
      </w:r>
      <w:r w:rsidR="00595271">
        <w:rPr>
          <w:lang w:eastAsia="en-GB"/>
        </w:rPr>
        <w:t>,</w:t>
      </w:r>
      <w:r w:rsidR="000445CE">
        <w:rPr>
          <w:lang w:eastAsia="en-GB"/>
        </w:rPr>
        <w:t xml:space="preserve"> Telstra has a market capitalisation of $44 billion, </w:t>
      </w:r>
      <w:r w:rsidR="00314DA8">
        <w:rPr>
          <w:lang w:eastAsia="en-GB"/>
        </w:rPr>
        <w:t xml:space="preserve">does not </w:t>
      </w:r>
      <w:r w:rsidR="003A75B6">
        <w:rPr>
          <w:lang w:eastAsia="en-GB"/>
        </w:rPr>
        <w:t xml:space="preserve">publicly </w:t>
      </w:r>
      <w:r w:rsidR="00595271">
        <w:rPr>
          <w:lang w:eastAsia="en-GB"/>
        </w:rPr>
        <w:t>report</w:t>
      </w:r>
      <w:r w:rsidR="00314DA8">
        <w:rPr>
          <w:lang w:eastAsia="en-GB"/>
        </w:rPr>
        <w:t xml:space="preserve"> its </w:t>
      </w:r>
      <w:r w:rsidR="00595271">
        <w:rPr>
          <w:lang w:eastAsia="en-GB"/>
        </w:rPr>
        <w:t xml:space="preserve">R&amp;D expenditure. </w:t>
      </w:r>
    </w:p>
    <w:p w14:paraId="3E65DE83" w14:textId="369315E0" w:rsidR="0022686F" w:rsidRDefault="0022686F" w:rsidP="00BB3E11">
      <w:pPr>
        <w:rPr>
          <w:lang w:eastAsia="en-GB"/>
        </w:rPr>
      </w:pPr>
      <w:r>
        <w:rPr>
          <w:lang w:eastAsia="en-GB"/>
        </w:rPr>
        <w:t xml:space="preserve">Six companies in the health sector reported a combined R&amp;D expenditure of $2.9 billion with a R&amp;D intensity of 9.6%. Eleven companies in manufacturing reported a total R&amp;D spend of $381.6 million, with a R&amp;D intensity of 0.55%. </w:t>
      </w:r>
    </w:p>
    <w:p w14:paraId="541A0BE0" w14:textId="433CBCF6" w:rsidR="003A75B6" w:rsidRDefault="003A75B6" w:rsidP="003A75B6">
      <w:pPr>
        <w:rPr>
          <w:lang w:eastAsia="en-GB"/>
        </w:rPr>
      </w:pPr>
      <w:r>
        <w:rPr>
          <w:lang w:eastAsia="en-GB"/>
        </w:rPr>
        <w:t xml:space="preserve">Technology, health, and manufacturing are fundamental to Australia’s Industries of the Future. They are currently driving business R&amp;D growth (see </w:t>
      </w:r>
      <w:r>
        <w:rPr>
          <w:lang w:eastAsia="en-GB"/>
        </w:rPr>
        <w:fldChar w:fldCharType="begin"/>
      </w:r>
      <w:r>
        <w:rPr>
          <w:lang w:eastAsia="en-GB"/>
        </w:rPr>
        <w:instrText xml:space="preserve"> REF _Ref161927690 \h </w:instrText>
      </w:r>
      <w:r>
        <w:rPr>
          <w:lang w:eastAsia="en-GB"/>
        </w:rPr>
      </w:r>
      <w:r>
        <w:rPr>
          <w:lang w:eastAsia="en-GB"/>
        </w:rPr>
        <w:fldChar w:fldCharType="separate"/>
      </w:r>
      <w:r w:rsidR="0001219A">
        <w:t xml:space="preserve">Figure </w:t>
      </w:r>
      <w:r w:rsidR="0001219A">
        <w:rPr>
          <w:noProof/>
        </w:rPr>
        <w:t>1</w:t>
      </w:r>
      <w:r>
        <w:rPr>
          <w:lang w:eastAsia="en-GB"/>
        </w:rPr>
        <w:fldChar w:fldCharType="end"/>
      </w:r>
      <w:r>
        <w:rPr>
          <w:lang w:eastAsia="en-GB"/>
        </w:rPr>
        <w:t xml:space="preserve"> above), but  these existing players and new ones will need to grow faster to shift the needle away from reliance on the resources sector. . </w:t>
      </w:r>
    </w:p>
    <w:p w14:paraId="729BD816" w14:textId="1A4C8C1F" w:rsidR="003E42E6" w:rsidRDefault="006676A7" w:rsidP="002F2297">
      <w:pPr>
        <w:pStyle w:val="Heading2"/>
        <w:rPr>
          <w:lang w:eastAsia="en-GB"/>
        </w:rPr>
      </w:pPr>
      <w:bookmarkStart w:id="5" w:name="_Toc163295749"/>
      <w:bookmarkStart w:id="6" w:name="_Toc163563832"/>
      <w:r>
        <w:rPr>
          <w:lang w:eastAsia="en-GB"/>
        </w:rPr>
        <w:t xml:space="preserve">Falling </w:t>
      </w:r>
      <w:r w:rsidRPr="002F2297">
        <w:t>Government</w:t>
      </w:r>
      <w:r>
        <w:rPr>
          <w:lang w:eastAsia="en-GB"/>
        </w:rPr>
        <w:t xml:space="preserve"> support for R&amp;D</w:t>
      </w:r>
      <w:bookmarkEnd w:id="5"/>
      <w:bookmarkEnd w:id="6"/>
    </w:p>
    <w:p w14:paraId="79D2F0E1" w14:textId="78B697ED" w:rsidR="003A75B6" w:rsidRDefault="003A75B6" w:rsidP="003A75B6">
      <w:pPr>
        <w:rPr>
          <w:rFonts w:ascii="Calibri" w:eastAsia="Times New Roman" w:hAnsi="Calibri" w:cs="Calibri"/>
          <w:color w:val="212121"/>
          <w:kern w:val="0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Cs w:val="22"/>
          <w:lang w:eastAsia="en-GB"/>
          <w14:ligatures w14:val="none"/>
        </w:rPr>
        <w:t xml:space="preserve">Compared to most other countries, Australian support for business R&amp;D has been falling since 2013, having increased for a while after the GFC. </w:t>
      </w:r>
      <w:r>
        <w:rPr>
          <w:rFonts w:ascii="Calibri" w:eastAsia="Times New Roman" w:hAnsi="Calibri" w:cs="Calibri"/>
          <w:color w:val="212121"/>
          <w:kern w:val="0"/>
          <w:szCs w:val="22"/>
          <w:lang w:eastAsia="en-GB"/>
          <w14:ligatures w14:val="none"/>
        </w:rPr>
        <w:fldChar w:fldCharType="begin"/>
      </w:r>
      <w:r>
        <w:rPr>
          <w:rFonts w:ascii="Calibri" w:eastAsia="Times New Roman" w:hAnsi="Calibri" w:cs="Calibri"/>
          <w:color w:val="212121"/>
          <w:kern w:val="0"/>
          <w:szCs w:val="22"/>
          <w:lang w:eastAsia="en-GB"/>
          <w14:ligatures w14:val="none"/>
        </w:rPr>
        <w:instrText xml:space="preserve"> REF _Ref158384456 \h </w:instrText>
      </w:r>
      <w:r>
        <w:rPr>
          <w:rFonts w:ascii="Calibri" w:eastAsia="Times New Roman" w:hAnsi="Calibri" w:cs="Calibri"/>
          <w:color w:val="212121"/>
          <w:kern w:val="0"/>
          <w:szCs w:val="22"/>
          <w:lang w:eastAsia="en-GB"/>
          <w14:ligatures w14:val="none"/>
        </w:rPr>
      </w:r>
      <w:r>
        <w:rPr>
          <w:rFonts w:ascii="Calibri" w:eastAsia="Times New Roman" w:hAnsi="Calibri" w:cs="Calibri"/>
          <w:color w:val="212121"/>
          <w:kern w:val="0"/>
          <w:szCs w:val="22"/>
          <w:lang w:eastAsia="en-GB"/>
          <w14:ligatures w14:val="none"/>
        </w:rPr>
        <w:fldChar w:fldCharType="separate"/>
      </w:r>
      <w:r w:rsidR="0001219A">
        <w:t xml:space="preserve">Figure </w:t>
      </w:r>
      <w:r w:rsidR="0001219A">
        <w:rPr>
          <w:noProof/>
        </w:rPr>
        <w:t>2</w:t>
      </w:r>
      <w:r>
        <w:rPr>
          <w:rFonts w:ascii="Calibri" w:eastAsia="Times New Roman" w:hAnsi="Calibri" w:cs="Calibri"/>
          <w:color w:val="212121"/>
          <w:kern w:val="0"/>
          <w:szCs w:val="22"/>
          <w:lang w:eastAsia="en-GB"/>
          <w14:ligatures w14:val="none"/>
        </w:rPr>
        <w:fldChar w:fldCharType="end"/>
      </w:r>
      <w:r>
        <w:rPr>
          <w:rFonts w:ascii="Calibri" w:eastAsia="Times New Roman" w:hAnsi="Calibri" w:cs="Calibri"/>
          <w:color w:val="212121"/>
          <w:kern w:val="0"/>
          <w:szCs w:val="22"/>
          <w:lang w:eastAsia="en-GB"/>
          <w14:ligatures w14:val="none"/>
        </w:rPr>
        <w:t xml:space="preserve"> shows an upward trend in 2020 due largely to increased access by SMEs to the Research and Development tax incentive (RDTI). </w:t>
      </w:r>
    </w:p>
    <w:p w14:paraId="4698386F" w14:textId="000C127B" w:rsidR="00970E9B" w:rsidRDefault="006676A7" w:rsidP="002F59F9">
      <w:pPr>
        <w:pStyle w:val="Caption"/>
        <w:keepNext/>
        <w:spacing w:before="0" w:after="0"/>
      </w:pPr>
      <w:bookmarkStart w:id="7" w:name="_Ref15838445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01219A">
        <w:rPr>
          <w:noProof/>
        </w:rPr>
        <w:t>2</w:t>
      </w:r>
      <w:r>
        <w:fldChar w:fldCharType="end"/>
      </w:r>
      <w:bookmarkEnd w:id="7"/>
      <w:r>
        <w:t xml:space="preserve">: </w:t>
      </w:r>
      <w:r w:rsidRPr="00CC6982">
        <w:t>Government budget and tax incentive support for business R&amp;D</w:t>
      </w:r>
    </w:p>
    <w:p w14:paraId="1A69B701" w14:textId="6B8BC6BF" w:rsidR="006676A7" w:rsidRDefault="006676A7" w:rsidP="002F59F9">
      <w:pPr>
        <w:pStyle w:val="Caption"/>
        <w:keepNext/>
        <w:spacing w:before="0" w:after="0"/>
      </w:pPr>
      <w:r w:rsidRPr="00E27568">
        <w:t xml:space="preserve">as </w:t>
      </w:r>
      <w:r>
        <w:t xml:space="preserve">a </w:t>
      </w:r>
      <w:r w:rsidRPr="00E27568">
        <w:t>proportion of GDP</w:t>
      </w:r>
      <w:r>
        <w:t xml:space="preserve"> 2000-2020 (%)</w:t>
      </w:r>
    </w:p>
    <w:p w14:paraId="649E5BBB" w14:textId="77777777" w:rsidR="006676A7" w:rsidRDefault="006676A7" w:rsidP="002F59F9">
      <w:pPr>
        <w:spacing w:before="0" w:after="0"/>
        <w:jc w:val="center"/>
        <w:rPr>
          <w:rFonts w:ascii="Calibri" w:eastAsia="Times New Roman" w:hAnsi="Calibri" w:cs="Calibri"/>
          <w:color w:val="212121"/>
          <w:kern w:val="0"/>
          <w:szCs w:val="22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282725FA" wp14:editId="0F44A92A">
            <wp:extent cx="4752000" cy="2278800"/>
            <wp:effectExtent l="12700" t="12700" r="10795" b="7620"/>
            <wp:docPr id="4711904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90444" name=""/>
                    <pic:cNvPicPr/>
                  </pic:nvPicPr>
                  <pic:blipFill rotWithShape="1">
                    <a:blip r:embed="rId10"/>
                    <a:srcRect t="18479"/>
                    <a:stretch/>
                  </pic:blipFill>
                  <pic:spPr bwMode="auto">
                    <a:xfrm>
                      <a:off x="0" y="0"/>
                      <a:ext cx="4752000" cy="2278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3201E2" w14:textId="57A417A1" w:rsidR="006676A7" w:rsidRPr="004A17EB" w:rsidRDefault="006676A7" w:rsidP="002F59F9">
      <w:pPr>
        <w:spacing w:before="0" w:after="0"/>
        <w:ind w:left="720"/>
        <w:rPr>
          <w:rFonts w:eastAsia="Times New Roman" w:cs="Calibri"/>
          <w:color w:val="212121"/>
          <w:kern w:val="0"/>
          <w:sz w:val="16"/>
          <w:szCs w:val="16"/>
          <w:lang w:eastAsia="en-GB"/>
          <w14:ligatures w14:val="none"/>
        </w:rPr>
      </w:pPr>
      <w:r w:rsidRPr="004A17EB">
        <w:rPr>
          <w:rFonts w:eastAsia="Times New Roman" w:cs="Calibri"/>
          <w:color w:val="212121"/>
          <w:kern w:val="0"/>
          <w:sz w:val="16"/>
          <w:szCs w:val="16"/>
          <w:lang w:eastAsia="en-GB"/>
          <w14:ligatures w14:val="none"/>
        </w:rPr>
        <w:t xml:space="preserve">Source: OECD (2024), Gross domestic spending on R&amp;D (indicator). </w:t>
      </w:r>
      <w:r>
        <w:rPr>
          <w:rFonts w:eastAsia="Times New Roman" w:cs="Calibri"/>
          <w:color w:val="212121"/>
          <w:kern w:val="0"/>
          <w:sz w:val="16"/>
          <w:szCs w:val="16"/>
          <w:lang w:eastAsia="en-GB"/>
          <w14:ligatures w14:val="none"/>
        </w:rPr>
        <w:t>D</w:t>
      </w:r>
      <w:r w:rsidRPr="004A17EB">
        <w:rPr>
          <w:rFonts w:eastAsia="Times New Roman" w:cs="Calibri"/>
          <w:color w:val="212121"/>
          <w:kern w:val="0"/>
          <w:sz w:val="16"/>
          <w:szCs w:val="16"/>
          <w:lang w:eastAsia="en-GB"/>
          <w14:ligatures w14:val="none"/>
        </w:rPr>
        <w:t xml:space="preserve">oi: 10.1787/d8b068b4-en (Accessed on 09 February 2024) </w:t>
      </w:r>
    </w:p>
    <w:p w14:paraId="79832E2A" w14:textId="43C4F9FF" w:rsidR="0096548E" w:rsidRPr="003E42E6" w:rsidRDefault="00970E9B" w:rsidP="0096548E">
      <w:pPr>
        <w:rPr>
          <w:lang w:eastAsia="en-GB"/>
        </w:rPr>
      </w:pPr>
      <w:r>
        <w:rPr>
          <w:lang w:eastAsia="en-GB"/>
        </w:rPr>
        <w:t xml:space="preserve">Australia’s low level of R&amp;D support </w:t>
      </w:r>
      <w:r w:rsidR="0096548E">
        <w:rPr>
          <w:lang w:eastAsia="en-GB"/>
        </w:rPr>
        <w:t xml:space="preserve">makes high-risk R&amp;D </w:t>
      </w:r>
      <w:r>
        <w:rPr>
          <w:lang w:eastAsia="en-GB"/>
        </w:rPr>
        <w:t xml:space="preserve">relatively </w:t>
      </w:r>
      <w:r w:rsidR="0096548E">
        <w:rPr>
          <w:lang w:eastAsia="en-GB"/>
        </w:rPr>
        <w:t>unattractive for both domestic and international companies</w:t>
      </w:r>
      <w:r w:rsidR="003A75B6">
        <w:rPr>
          <w:lang w:eastAsia="en-GB"/>
        </w:rPr>
        <w:t xml:space="preserve">. </w:t>
      </w:r>
      <w:r>
        <w:rPr>
          <w:lang w:eastAsia="en-GB"/>
        </w:rPr>
        <w:t xml:space="preserve">Not only that, but Australian companies might also be motivated to invest where government support is greater. This factor is understood to be at play for new technology-based firms looking to grow. </w:t>
      </w:r>
    </w:p>
    <w:p w14:paraId="6C094642" w14:textId="4E968543" w:rsidR="006676A7" w:rsidRPr="006676A7" w:rsidRDefault="006C1D1D" w:rsidP="006676A7">
      <w:pPr>
        <w:pStyle w:val="Heading2"/>
        <w:rPr>
          <w:lang w:eastAsia="en-GB"/>
        </w:rPr>
      </w:pPr>
      <w:bookmarkStart w:id="8" w:name="_Toc163295750"/>
      <w:bookmarkStart w:id="9" w:name="_Toc163563833"/>
      <w:r w:rsidRPr="00BC0059">
        <w:rPr>
          <w:lang w:eastAsia="en-GB"/>
        </w:rPr>
        <w:t xml:space="preserve">An </w:t>
      </w:r>
      <w:r w:rsidR="00A5236E" w:rsidRPr="00BC0059">
        <w:rPr>
          <w:lang w:eastAsia="en-GB"/>
        </w:rPr>
        <w:t xml:space="preserve">unsupportive </w:t>
      </w:r>
      <w:r w:rsidR="00A5236E">
        <w:rPr>
          <w:lang w:eastAsia="en-GB"/>
        </w:rPr>
        <w:t xml:space="preserve">and unstable </w:t>
      </w:r>
      <w:r w:rsidRPr="00BC0059">
        <w:rPr>
          <w:lang w:eastAsia="en-GB"/>
        </w:rPr>
        <w:t>business investment climate</w:t>
      </w:r>
      <w:bookmarkEnd w:id="8"/>
      <w:bookmarkEnd w:id="9"/>
    </w:p>
    <w:p w14:paraId="638DF667" w14:textId="4F6C5532" w:rsidR="003E42E6" w:rsidRPr="006676A7" w:rsidRDefault="00EA7F6B" w:rsidP="006676A7">
      <w:pPr>
        <w:rPr>
          <w:lang w:eastAsia="en-GB"/>
        </w:rPr>
      </w:pPr>
      <w:r>
        <w:rPr>
          <w:lang w:eastAsia="en-GB"/>
        </w:rPr>
        <w:t xml:space="preserve">Between 2008 and 2022, the policy climate for Australian business R&amp;D </w:t>
      </w:r>
      <w:r w:rsidR="00474145">
        <w:rPr>
          <w:lang w:eastAsia="en-GB"/>
        </w:rPr>
        <w:t xml:space="preserve">was </w:t>
      </w:r>
      <w:r>
        <w:rPr>
          <w:lang w:eastAsia="en-GB"/>
        </w:rPr>
        <w:t xml:space="preserve">characterised by </w:t>
      </w:r>
      <w:r w:rsidR="006676A7">
        <w:rPr>
          <w:lang w:eastAsia="en-GB"/>
        </w:rPr>
        <w:t>disinterested government</w:t>
      </w:r>
      <w:r w:rsidR="00474145">
        <w:rPr>
          <w:lang w:eastAsia="en-GB"/>
        </w:rPr>
        <w:t>s</w:t>
      </w:r>
      <w:r w:rsidR="006C1D1D" w:rsidRPr="006676A7">
        <w:rPr>
          <w:lang w:eastAsia="en-GB"/>
        </w:rPr>
        <w:t xml:space="preserve"> and confusing policy signals</w:t>
      </w:r>
      <w:r>
        <w:rPr>
          <w:lang w:eastAsia="en-GB"/>
        </w:rPr>
        <w:t>.</w:t>
      </w:r>
      <w:r w:rsidR="006C1D1D" w:rsidRPr="006676A7">
        <w:rPr>
          <w:lang w:eastAsia="en-GB"/>
        </w:rPr>
        <w:t xml:space="preserve"> </w:t>
      </w:r>
      <w:r w:rsidR="003E42E6" w:rsidRPr="006676A7">
        <w:rPr>
          <w:lang w:eastAsia="en-GB"/>
        </w:rPr>
        <w:t xml:space="preserve">During this period, there </w:t>
      </w:r>
      <w:r w:rsidR="00B8055F">
        <w:rPr>
          <w:lang w:eastAsia="en-GB"/>
        </w:rPr>
        <w:t>were</w:t>
      </w:r>
      <w:r w:rsidR="003E42E6" w:rsidRPr="006676A7">
        <w:rPr>
          <w:lang w:eastAsia="en-GB"/>
        </w:rPr>
        <w:t xml:space="preserve"> </w:t>
      </w:r>
      <w:r w:rsidR="006C1D1D" w:rsidRPr="006676A7">
        <w:rPr>
          <w:lang w:eastAsia="en-GB"/>
        </w:rPr>
        <w:t xml:space="preserve">14 </w:t>
      </w:r>
      <w:r w:rsidR="003E42E6" w:rsidRPr="006676A7">
        <w:rPr>
          <w:lang w:eastAsia="en-GB"/>
        </w:rPr>
        <w:t xml:space="preserve">different </w:t>
      </w:r>
      <w:r w:rsidR="006C1D1D" w:rsidRPr="006676A7">
        <w:rPr>
          <w:lang w:eastAsia="en-GB"/>
        </w:rPr>
        <w:t>Ministers who had portfolio responsibilities for industry, science</w:t>
      </w:r>
      <w:r>
        <w:rPr>
          <w:lang w:eastAsia="en-GB"/>
        </w:rPr>
        <w:t>,</w:t>
      </w:r>
      <w:r w:rsidR="006C1D1D" w:rsidRPr="006676A7">
        <w:rPr>
          <w:lang w:eastAsia="en-GB"/>
        </w:rPr>
        <w:t xml:space="preserve"> and innovation</w:t>
      </w:r>
      <w:r w:rsidR="003E42E6" w:rsidRPr="006676A7">
        <w:rPr>
          <w:lang w:eastAsia="en-GB"/>
        </w:rPr>
        <w:t>. These Ministers</w:t>
      </w:r>
      <w:r w:rsidR="006C1D1D" w:rsidRPr="006676A7">
        <w:rPr>
          <w:rStyle w:val="FootnoteReference"/>
          <w:lang w:eastAsia="en-GB"/>
        </w:rPr>
        <w:footnoteReference w:id="2"/>
      </w:r>
      <w:r w:rsidR="006C1D1D" w:rsidRPr="006676A7">
        <w:rPr>
          <w:lang w:eastAsia="en-GB"/>
        </w:rPr>
        <w:t xml:space="preserve"> usually ranked at the lower end of the Cabinet pecking order</w:t>
      </w:r>
      <w:r>
        <w:rPr>
          <w:lang w:eastAsia="en-GB"/>
        </w:rPr>
        <w:t>.</w:t>
      </w:r>
    </w:p>
    <w:p w14:paraId="3526BFAC" w14:textId="5B1352AA" w:rsidR="006C1D1D" w:rsidRDefault="00EA7F6B" w:rsidP="006676A7">
      <w:pPr>
        <w:rPr>
          <w:lang w:eastAsia="en-GB"/>
        </w:rPr>
      </w:pPr>
      <w:r>
        <w:rPr>
          <w:lang w:eastAsia="en-GB"/>
        </w:rPr>
        <w:t>The period was characterised by a</w:t>
      </w:r>
      <w:r w:rsidR="003E42E6" w:rsidRPr="006676A7">
        <w:rPr>
          <w:lang w:eastAsia="en-GB"/>
        </w:rPr>
        <w:t xml:space="preserve"> regular </w:t>
      </w:r>
      <w:r w:rsidR="006C1D1D" w:rsidRPr="006676A7">
        <w:rPr>
          <w:lang w:eastAsia="en-GB"/>
        </w:rPr>
        <w:t xml:space="preserve">grab bag of new initiatives (“funding programs”) with very small amounts of money and very short half-lives, </w:t>
      </w:r>
      <w:r w:rsidR="003A75B6">
        <w:rPr>
          <w:lang w:eastAsia="en-GB"/>
        </w:rPr>
        <w:t xml:space="preserve">almost continuous </w:t>
      </w:r>
      <w:r w:rsidR="006C1D1D" w:rsidRPr="006676A7">
        <w:rPr>
          <w:lang w:eastAsia="en-GB"/>
        </w:rPr>
        <w:t xml:space="preserve">machinery of Government (MOG) changes, </w:t>
      </w:r>
      <w:r w:rsidR="003A75B6">
        <w:rPr>
          <w:lang w:eastAsia="en-GB"/>
        </w:rPr>
        <w:t xml:space="preserve">and </w:t>
      </w:r>
      <w:r w:rsidR="006C1D1D" w:rsidRPr="006676A7">
        <w:rPr>
          <w:lang w:eastAsia="en-GB"/>
        </w:rPr>
        <w:t xml:space="preserve">public service </w:t>
      </w:r>
      <w:r w:rsidR="00970E9B">
        <w:rPr>
          <w:lang w:eastAsia="en-GB"/>
        </w:rPr>
        <w:t xml:space="preserve">“efficiency dividends” </w:t>
      </w:r>
      <w:r w:rsidR="006C1D1D" w:rsidRPr="006676A7">
        <w:rPr>
          <w:lang w:eastAsia="en-GB"/>
        </w:rPr>
        <w:t>that killed off policy capability</w:t>
      </w:r>
      <w:r w:rsidR="003A75B6">
        <w:rPr>
          <w:lang w:eastAsia="en-GB"/>
        </w:rPr>
        <w:t xml:space="preserve">, </w:t>
      </w:r>
      <w:r w:rsidR="006C1D1D" w:rsidRPr="006676A7">
        <w:rPr>
          <w:lang w:eastAsia="en-GB"/>
        </w:rPr>
        <w:t>corporate memory</w:t>
      </w:r>
      <w:r w:rsidR="003A75B6">
        <w:rPr>
          <w:lang w:eastAsia="en-GB"/>
        </w:rPr>
        <w:t>, and promoted transactional government-business relationships.</w:t>
      </w:r>
    </w:p>
    <w:p w14:paraId="4EB60B72" w14:textId="08461245" w:rsidR="003A2F3E" w:rsidRDefault="003A2F3E" w:rsidP="003A2F3E">
      <w:r w:rsidRPr="003A2F3E">
        <w:rPr>
          <w:lang w:eastAsia="en-GB"/>
        </w:rPr>
        <w:t>Underpinning</w:t>
      </w:r>
      <w:r>
        <w:rPr>
          <w:lang w:eastAsia="en-GB"/>
        </w:rPr>
        <w:t xml:space="preserve"> these trends was the Rudd Government’s proposed Resource Super Profits Tax (RSPT), which generated significant opposition in the Minerals and Energy </w:t>
      </w:r>
      <w:r w:rsidR="00970E9B">
        <w:rPr>
          <w:lang w:eastAsia="en-GB"/>
        </w:rPr>
        <w:t>Sector</w:t>
      </w:r>
      <w:r>
        <w:rPr>
          <w:lang w:eastAsia="en-GB"/>
        </w:rPr>
        <w:t xml:space="preserve"> and may also have influenced </w:t>
      </w:r>
      <w:r w:rsidR="00407647">
        <w:rPr>
          <w:lang w:eastAsia="en-GB"/>
        </w:rPr>
        <w:t xml:space="preserve">future </w:t>
      </w:r>
      <w:r>
        <w:rPr>
          <w:lang w:eastAsia="en-GB"/>
        </w:rPr>
        <w:t>R&amp;D investment location decisions.</w:t>
      </w:r>
    </w:p>
    <w:p w14:paraId="378C9FF5" w14:textId="77777777" w:rsidR="00626A98" w:rsidRDefault="00626A98" w:rsidP="00626A98">
      <w:pPr>
        <w:pStyle w:val="Heading2"/>
        <w:rPr>
          <w:lang w:eastAsia="en-GB"/>
        </w:rPr>
      </w:pPr>
      <w:bookmarkStart w:id="10" w:name="_Toc163295751"/>
      <w:bookmarkStart w:id="11" w:name="_Toc163563834"/>
      <w:r w:rsidRPr="00BC0059">
        <w:rPr>
          <w:lang w:eastAsia="en-GB"/>
        </w:rPr>
        <w:t xml:space="preserve">The </w:t>
      </w:r>
      <w:r>
        <w:rPr>
          <w:lang w:eastAsia="en-GB"/>
        </w:rPr>
        <w:t>globalisation of</w:t>
      </w:r>
      <w:r w:rsidRPr="00BC0059">
        <w:rPr>
          <w:lang w:eastAsia="en-GB"/>
        </w:rPr>
        <w:t xml:space="preserve"> </w:t>
      </w:r>
      <w:r>
        <w:rPr>
          <w:lang w:eastAsia="en-GB"/>
        </w:rPr>
        <w:t xml:space="preserve">corporate </w:t>
      </w:r>
      <w:r w:rsidRPr="00BC0059">
        <w:rPr>
          <w:lang w:eastAsia="en-GB"/>
        </w:rPr>
        <w:t>R&amp;D</w:t>
      </w:r>
      <w:bookmarkEnd w:id="10"/>
      <w:bookmarkEnd w:id="11"/>
    </w:p>
    <w:p w14:paraId="0FAED26B" w14:textId="02429C49" w:rsidR="009371B4" w:rsidRDefault="001E79AA" w:rsidP="009371B4">
      <w:pPr>
        <w:rPr>
          <w:lang w:eastAsia="en-GB"/>
        </w:rPr>
      </w:pPr>
      <w:r>
        <w:t xml:space="preserve">As the world becomes increasingly interconnected and interdependent, </w:t>
      </w:r>
      <w:proofErr w:type="gramStart"/>
      <w:r w:rsidR="009371B4">
        <w:t>multinational</w:t>
      </w:r>
      <w:proofErr w:type="gramEnd"/>
      <w:r w:rsidR="009371B4">
        <w:t xml:space="preserve"> and </w:t>
      </w:r>
      <w:r>
        <w:t>global companies see their core skills in identifying challenges, envisioning the future, and coordinating</w:t>
      </w:r>
      <w:r w:rsidR="00626A98">
        <w:t xml:space="preserve"> resources to best attack the </w:t>
      </w:r>
      <w:r w:rsidR="00407647">
        <w:t>problem. In</w:t>
      </w:r>
      <w:r w:rsidR="009371B4">
        <w:t xml:space="preserve"> this context, </w:t>
      </w:r>
      <w:r w:rsidR="009371B4">
        <w:rPr>
          <w:lang w:eastAsia="en-GB"/>
        </w:rPr>
        <w:t xml:space="preserve">they </w:t>
      </w:r>
      <w:r w:rsidR="00C161D2">
        <w:rPr>
          <w:lang w:eastAsia="en-GB"/>
        </w:rPr>
        <w:t xml:space="preserve">decide where </w:t>
      </w:r>
      <w:r w:rsidR="0001219A">
        <w:rPr>
          <w:lang w:eastAsia="en-GB"/>
        </w:rPr>
        <w:t xml:space="preserve">and how </w:t>
      </w:r>
      <w:r w:rsidR="00C161D2">
        <w:rPr>
          <w:lang w:eastAsia="en-GB"/>
        </w:rPr>
        <w:t xml:space="preserve">to </w:t>
      </w:r>
      <w:r w:rsidR="003A75B6">
        <w:rPr>
          <w:lang w:eastAsia="en-GB"/>
        </w:rPr>
        <w:t xml:space="preserve">source </w:t>
      </w:r>
      <w:r w:rsidR="00C161D2">
        <w:rPr>
          <w:lang w:eastAsia="en-GB"/>
        </w:rPr>
        <w:t>R&amp;D</w:t>
      </w:r>
      <w:r w:rsidR="0001219A">
        <w:rPr>
          <w:lang w:eastAsia="en-GB"/>
        </w:rPr>
        <w:t xml:space="preserve"> capability</w:t>
      </w:r>
      <w:r w:rsidR="003A75B6">
        <w:rPr>
          <w:lang w:eastAsia="en-GB"/>
        </w:rPr>
        <w:t xml:space="preserve">.  </w:t>
      </w:r>
    </w:p>
    <w:p w14:paraId="74C6E767" w14:textId="766107C4" w:rsidR="000B4C29" w:rsidRDefault="0001219A" w:rsidP="009371B4">
      <w:pPr>
        <w:rPr>
          <w:lang w:eastAsia="en-GB"/>
        </w:rPr>
      </w:pPr>
      <w:r>
        <w:rPr>
          <w:lang w:eastAsia="en-GB"/>
        </w:rPr>
        <w:t xml:space="preserve">Decision frameworks address countries’ </w:t>
      </w:r>
      <w:r w:rsidR="00C161D2">
        <w:rPr>
          <w:lang w:eastAsia="en-GB"/>
        </w:rPr>
        <w:t>strengths in talent, research capacity, ease of doing business, potential partnership arrangements with universities and public research organisations, trust, and</w:t>
      </w:r>
      <w:r w:rsidR="000B4C29">
        <w:rPr>
          <w:lang w:eastAsia="en-GB"/>
        </w:rPr>
        <w:t xml:space="preserve"> government support. </w:t>
      </w:r>
      <w:r>
        <w:rPr>
          <w:lang w:eastAsia="en-GB"/>
        </w:rPr>
        <w:t xml:space="preserve"> </w:t>
      </w:r>
    </w:p>
    <w:p w14:paraId="083500B1" w14:textId="49C7715F" w:rsidR="00407647" w:rsidRDefault="00407647" w:rsidP="00407647">
      <w:pPr>
        <w:rPr>
          <w:rFonts w:eastAsia="Aptos"/>
        </w:rPr>
      </w:pPr>
      <w:r>
        <w:rPr>
          <w:rFonts w:eastAsia="Aptos"/>
        </w:rPr>
        <w:t>For example, in the agriculture sector, companies like Bayer, Syngenta, and BASF</w:t>
      </w:r>
      <w:r w:rsidRPr="009615AE">
        <w:rPr>
          <w:rFonts w:eastAsia="Aptos"/>
        </w:rPr>
        <w:t xml:space="preserve"> have global R&amp;D programs</w:t>
      </w:r>
      <w:r>
        <w:rPr>
          <w:rFonts w:eastAsia="Aptos"/>
        </w:rPr>
        <w:t xml:space="preserve">, and countries compete intensely to host them. </w:t>
      </w:r>
      <w:r w:rsidRPr="001C73EF">
        <w:rPr>
          <w:rFonts w:eastAsia="Aptos"/>
        </w:rPr>
        <w:t>In 2022</w:t>
      </w:r>
      <w:r>
        <w:rPr>
          <w:rFonts w:eastAsia="Aptos"/>
        </w:rPr>
        <w:t>,</w:t>
      </w:r>
      <w:r w:rsidRPr="001C73EF">
        <w:rPr>
          <w:rFonts w:eastAsia="Aptos"/>
        </w:rPr>
        <w:t xml:space="preserve"> Bayer reported over 700 </w:t>
      </w:r>
      <w:r>
        <w:rPr>
          <w:rFonts w:eastAsia="Aptos"/>
        </w:rPr>
        <w:t xml:space="preserve">international </w:t>
      </w:r>
      <w:r w:rsidRPr="001C73EF">
        <w:rPr>
          <w:rFonts w:eastAsia="Aptos"/>
        </w:rPr>
        <w:t xml:space="preserve">collaborations, </w:t>
      </w:r>
      <w:r>
        <w:rPr>
          <w:rFonts w:eastAsia="Aptos"/>
        </w:rPr>
        <w:t xml:space="preserve">of which only </w:t>
      </w:r>
      <w:r w:rsidRPr="001C73EF">
        <w:rPr>
          <w:rFonts w:eastAsia="Aptos"/>
        </w:rPr>
        <w:t>twelve were in Australia</w:t>
      </w:r>
      <w:r>
        <w:rPr>
          <w:rStyle w:val="FootnoteReference"/>
          <w:rFonts w:eastAsia="Aptos"/>
        </w:rPr>
        <w:footnoteReference w:id="3"/>
      </w:r>
      <w:r w:rsidRPr="001C73EF">
        <w:rPr>
          <w:rFonts w:eastAsia="Aptos"/>
        </w:rPr>
        <w:t>.</w:t>
      </w:r>
      <w:r>
        <w:rPr>
          <w:rFonts w:eastAsia="Aptos"/>
        </w:rPr>
        <w:t xml:space="preserve"> </w:t>
      </w:r>
      <w:r w:rsidRPr="001C73EF">
        <w:rPr>
          <w:rFonts w:eastAsia="Aptos"/>
        </w:rPr>
        <w:t>In 2019, Bayer generated sales of A$1.3 billion in Australia and New Zealand</w:t>
      </w:r>
      <w:r>
        <w:rPr>
          <w:rFonts w:eastAsia="Aptos"/>
        </w:rPr>
        <w:t xml:space="preserve"> (out of a total of $69</w:t>
      </w:r>
      <w:r w:rsidR="00274A39">
        <w:rPr>
          <w:rFonts w:eastAsia="Aptos"/>
        </w:rPr>
        <w:t>.6</w:t>
      </w:r>
      <w:r>
        <w:rPr>
          <w:rFonts w:eastAsia="Aptos"/>
        </w:rPr>
        <w:t xml:space="preserve"> billion). Its </w:t>
      </w:r>
      <w:r w:rsidR="00274A39">
        <w:rPr>
          <w:rFonts w:eastAsia="Aptos"/>
        </w:rPr>
        <w:t>global</w:t>
      </w:r>
      <w:r>
        <w:rPr>
          <w:rFonts w:eastAsia="Aptos"/>
        </w:rPr>
        <w:t xml:space="preserve"> R&amp;D spend was </w:t>
      </w:r>
      <w:r w:rsidR="00274A39">
        <w:rPr>
          <w:rFonts w:eastAsia="Aptos"/>
        </w:rPr>
        <w:t>$8.5 billion</w:t>
      </w:r>
      <w:r w:rsidR="00274A39">
        <w:rPr>
          <w:rStyle w:val="FootnoteReference"/>
          <w:rFonts w:eastAsia="Aptos"/>
        </w:rPr>
        <w:footnoteReference w:id="4"/>
      </w:r>
      <w:r w:rsidR="00274A39">
        <w:rPr>
          <w:rFonts w:eastAsia="Aptos"/>
        </w:rPr>
        <w:t xml:space="preserve">. </w:t>
      </w:r>
    </w:p>
    <w:p w14:paraId="52E56189" w14:textId="0355254E" w:rsidR="000B4C29" w:rsidRDefault="000B4C29" w:rsidP="000B4C29">
      <w:pPr>
        <w:rPr>
          <w:lang w:eastAsia="en-GB"/>
        </w:rPr>
      </w:pPr>
      <w:r>
        <w:rPr>
          <w:lang w:eastAsia="en-GB"/>
        </w:rPr>
        <w:t xml:space="preserve">Australia is currently uncompetitive in the global R&amp;D </w:t>
      </w:r>
      <w:r w:rsidR="009371B4">
        <w:rPr>
          <w:lang w:eastAsia="en-GB"/>
        </w:rPr>
        <w:t xml:space="preserve">attraction </w:t>
      </w:r>
      <w:r>
        <w:rPr>
          <w:lang w:eastAsia="en-GB"/>
        </w:rPr>
        <w:t>business</w:t>
      </w:r>
      <w:r w:rsidR="00C161D2">
        <w:rPr>
          <w:lang w:eastAsia="en-GB"/>
        </w:rPr>
        <w:t xml:space="preserve">. </w:t>
      </w:r>
      <w:r w:rsidR="009371B4">
        <w:rPr>
          <w:lang w:eastAsia="en-GB"/>
        </w:rPr>
        <w:t xml:space="preserve">It </w:t>
      </w:r>
      <w:r>
        <w:rPr>
          <w:lang w:eastAsia="en-GB"/>
        </w:rPr>
        <w:t xml:space="preserve">has not developed a Foreign Direct Investment (FDI) policy to attract R&amp;D investment. </w:t>
      </w:r>
    </w:p>
    <w:p w14:paraId="31F96EC0" w14:textId="0FC54B59" w:rsidR="000D03C5" w:rsidRDefault="000D03C5" w:rsidP="000D03C5">
      <w:pPr>
        <w:pStyle w:val="Heading2"/>
        <w:rPr>
          <w:rFonts w:eastAsia="Aptos"/>
        </w:rPr>
      </w:pPr>
      <w:bookmarkStart w:id="12" w:name="_Toc163563835"/>
      <w:r>
        <w:rPr>
          <w:rFonts w:eastAsia="Aptos"/>
        </w:rPr>
        <w:t>R&amp;D is becoming harder to do</w:t>
      </w:r>
      <w:bookmarkEnd w:id="12"/>
    </w:p>
    <w:p w14:paraId="01949880" w14:textId="156653A0" w:rsidR="000D03C5" w:rsidRDefault="00274A39" w:rsidP="00274A39">
      <w:pPr>
        <w:rPr>
          <w:rFonts w:eastAsia="Aptos"/>
        </w:rPr>
      </w:pPr>
      <w:r>
        <w:rPr>
          <w:rFonts w:eastAsia="Aptos"/>
        </w:rPr>
        <w:t xml:space="preserve">US </w:t>
      </w:r>
      <w:r w:rsidR="000D03C5">
        <w:rPr>
          <w:rFonts w:eastAsia="Aptos"/>
        </w:rPr>
        <w:t>R</w:t>
      </w:r>
      <w:r>
        <w:rPr>
          <w:rFonts w:eastAsia="Aptos"/>
        </w:rPr>
        <w:t>e</w:t>
      </w:r>
      <w:r w:rsidR="000D03C5" w:rsidRPr="000D03C5">
        <w:rPr>
          <w:rFonts w:eastAsia="Aptos"/>
        </w:rPr>
        <w:t xml:space="preserve">search </w:t>
      </w:r>
      <w:r w:rsidR="00E2405F">
        <w:rPr>
          <w:rFonts w:eastAsia="Aptos"/>
        </w:rPr>
        <w:t xml:space="preserve">has shown that </w:t>
      </w:r>
      <w:r w:rsidR="000D03C5" w:rsidRPr="000D03C5">
        <w:rPr>
          <w:rFonts w:eastAsia="Aptos"/>
        </w:rPr>
        <w:t xml:space="preserve">returns to companies’ R&amp;D spending have declined </w:t>
      </w:r>
      <w:r>
        <w:rPr>
          <w:rFonts w:eastAsia="Aptos"/>
        </w:rPr>
        <w:t>by 65% over the last 30 years</w:t>
      </w:r>
      <w:r w:rsidR="00E2405F">
        <w:rPr>
          <w:rStyle w:val="FootnoteReference"/>
          <w:rFonts w:eastAsia="Aptos"/>
        </w:rPr>
        <w:footnoteReference w:id="5"/>
      </w:r>
      <w:r>
        <w:rPr>
          <w:rFonts w:eastAsia="Aptos"/>
        </w:rPr>
        <w:t xml:space="preserve"> </w:t>
      </w:r>
      <w:r w:rsidR="00E2405F">
        <w:rPr>
          <w:rFonts w:eastAsia="Aptos"/>
        </w:rPr>
        <w:t xml:space="preserve">. </w:t>
      </w:r>
      <w:r>
        <w:rPr>
          <w:rFonts w:eastAsia="Aptos"/>
        </w:rPr>
        <w:t>It also shows that w</w:t>
      </w:r>
      <w:r w:rsidR="000D03C5" w:rsidRPr="000D03C5">
        <w:rPr>
          <w:rFonts w:eastAsia="Aptos"/>
        </w:rPr>
        <w:t xml:space="preserve">hile R&amp;D within industries gets harder over time, as </w:t>
      </w:r>
      <w:r>
        <w:rPr>
          <w:rFonts w:eastAsia="Aptos"/>
        </w:rPr>
        <w:t xml:space="preserve">investment </w:t>
      </w:r>
      <w:r w:rsidR="000D03C5" w:rsidRPr="000D03C5">
        <w:rPr>
          <w:rFonts w:eastAsia="Aptos"/>
        </w:rPr>
        <w:t xml:space="preserve">opportunities dry up, companies respond by </w:t>
      </w:r>
      <w:r w:rsidR="00F17D56">
        <w:rPr>
          <w:rFonts w:eastAsia="Aptos"/>
        </w:rPr>
        <w:t>entering</w:t>
      </w:r>
      <w:r w:rsidR="000D03C5" w:rsidRPr="000D03C5">
        <w:rPr>
          <w:rFonts w:eastAsia="Aptos"/>
        </w:rPr>
        <w:t xml:space="preserve"> new industries with greater technological opportunity. </w:t>
      </w:r>
    </w:p>
    <w:p w14:paraId="07085FC0" w14:textId="18CD2EAD" w:rsidR="00E2405F" w:rsidRDefault="00E2405F" w:rsidP="00E2405F">
      <w:pPr>
        <w:rPr>
          <w:rFonts w:eastAsia="Aptos"/>
        </w:rPr>
      </w:pPr>
      <w:r w:rsidRPr="00E2405F">
        <w:rPr>
          <w:rFonts w:eastAsia="Aptos"/>
        </w:rPr>
        <w:t>W</w:t>
      </w:r>
      <w:r w:rsidR="000D03C5" w:rsidRPr="00E2405F">
        <w:rPr>
          <w:rFonts w:eastAsia="Aptos"/>
        </w:rPr>
        <w:t xml:space="preserve">hile some </w:t>
      </w:r>
      <w:r w:rsidR="000D03C5" w:rsidRPr="00E2405F">
        <w:rPr>
          <w:rFonts w:eastAsia="Aptos"/>
          <w:u w:val="single"/>
        </w:rPr>
        <w:t>industries</w:t>
      </w:r>
      <w:r w:rsidR="000D03C5" w:rsidRPr="00E2405F">
        <w:rPr>
          <w:rFonts w:eastAsia="Aptos"/>
        </w:rPr>
        <w:t xml:space="preserve"> may be doomed</w:t>
      </w:r>
      <w:r w:rsidR="009A45A5" w:rsidRPr="00E2405F">
        <w:rPr>
          <w:rFonts w:eastAsia="Aptos"/>
        </w:rPr>
        <w:t xml:space="preserve"> (like fossil fuel energy production)</w:t>
      </w:r>
      <w:r w:rsidR="000D03C5" w:rsidRPr="00E2405F">
        <w:rPr>
          <w:rFonts w:eastAsia="Aptos"/>
        </w:rPr>
        <w:t xml:space="preserve">, </w:t>
      </w:r>
      <w:r w:rsidR="000D03C5" w:rsidRPr="00E2405F">
        <w:rPr>
          <w:rFonts w:eastAsia="Aptos"/>
          <w:u w:val="single"/>
        </w:rPr>
        <w:t>companies</w:t>
      </w:r>
      <w:r w:rsidR="000D03C5" w:rsidRPr="00E2405F">
        <w:rPr>
          <w:rFonts w:eastAsia="Aptos"/>
        </w:rPr>
        <w:t xml:space="preserve"> </w:t>
      </w:r>
      <w:r w:rsidR="00274A39">
        <w:rPr>
          <w:rFonts w:eastAsia="Aptos"/>
        </w:rPr>
        <w:t>aren’t</w:t>
      </w:r>
      <w:r w:rsidR="000D03C5" w:rsidRPr="00E2405F">
        <w:rPr>
          <w:rFonts w:eastAsia="Aptos"/>
        </w:rPr>
        <w:t>.</w:t>
      </w:r>
      <w:r w:rsidR="00274A39">
        <w:rPr>
          <w:rFonts w:eastAsia="Aptos"/>
        </w:rPr>
        <w:t xml:space="preserve"> They </w:t>
      </w:r>
      <w:r w:rsidR="009A45A5" w:rsidRPr="00E2405F">
        <w:rPr>
          <w:rFonts w:eastAsia="Aptos"/>
        </w:rPr>
        <w:t xml:space="preserve">move into industries with greater opportunity, while exiting </w:t>
      </w:r>
      <w:r w:rsidR="00274A39">
        <w:rPr>
          <w:rFonts w:eastAsia="Aptos"/>
        </w:rPr>
        <w:t>the in</w:t>
      </w:r>
      <w:r w:rsidR="009A45A5" w:rsidRPr="00E2405F">
        <w:rPr>
          <w:rFonts w:eastAsia="Aptos"/>
        </w:rPr>
        <w:t xml:space="preserve">dustries </w:t>
      </w:r>
      <w:r>
        <w:rPr>
          <w:rFonts w:eastAsia="Aptos"/>
        </w:rPr>
        <w:t xml:space="preserve">that don’t. </w:t>
      </w:r>
    </w:p>
    <w:p w14:paraId="46D9D2CA" w14:textId="76757DDB" w:rsidR="000D03C5" w:rsidRDefault="000D03C5" w:rsidP="000B4C29">
      <w:pPr>
        <w:rPr>
          <w:rFonts w:eastAsia="Aptos"/>
        </w:rPr>
      </w:pPr>
      <w:r>
        <w:rPr>
          <w:rFonts w:eastAsia="Aptos"/>
        </w:rPr>
        <w:t xml:space="preserve">This has implications for measured R&amp;D, as </w:t>
      </w:r>
      <w:r w:rsidR="00F17D56">
        <w:rPr>
          <w:rFonts w:eastAsia="Aptos"/>
        </w:rPr>
        <w:t xml:space="preserve">fossil fuel companies </w:t>
      </w:r>
      <w:r w:rsidR="0001219A">
        <w:rPr>
          <w:rFonts w:eastAsia="Aptos"/>
        </w:rPr>
        <w:t xml:space="preserve">switch to investment in renewables, </w:t>
      </w:r>
      <w:r w:rsidR="00E2405F">
        <w:rPr>
          <w:rFonts w:eastAsia="Aptos"/>
        </w:rPr>
        <w:t xml:space="preserve">but do not </w:t>
      </w:r>
      <w:r w:rsidR="00F17D56">
        <w:rPr>
          <w:rFonts w:eastAsia="Aptos"/>
        </w:rPr>
        <w:t xml:space="preserve">commit to undertaking R&amp;D in </w:t>
      </w:r>
      <w:r w:rsidR="00E2405F">
        <w:rPr>
          <w:rFonts w:eastAsia="Aptos"/>
        </w:rPr>
        <w:t xml:space="preserve">the new companies </w:t>
      </w:r>
      <w:r w:rsidR="00F17D56">
        <w:rPr>
          <w:rFonts w:eastAsia="Aptos"/>
        </w:rPr>
        <w:t xml:space="preserve">they create </w:t>
      </w:r>
      <w:r w:rsidR="00E2405F">
        <w:rPr>
          <w:rFonts w:eastAsia="Aptos"/>
        </w:rPr>
        <w:t xml:space="preserve">in Australia. </w:t>
      </w:r>
    </w:p>
    <w:p w14:paraId="05EEBC89" w14:textId="4B90AED3" w:rsidR="00976412" w:rsidRPr="008534A3" w:rsidRDefault="00976412" w:rsidP="000B4C29">
      <w:pPr>
        <w:rPr>
          <w:rFonts w:eastAsia="Aptos"/>
        </w:rPr>
      </w:pPr>
      <w:r>
        <w:rPr>
          <w:rFonts w:eastAsia="Aptos"/>
        </w:rPr>
        <w:t xml:space="preserve">These companies are, however, likely to be the sort of businesses that Australia needs </w:t>
      </w:r>
      <w:r w:rsidR="0001219A">
        <w:rPr>
          <w:rFonts w:eastAsia="Aptos"/>
        </w:rPr>
        <w:t>i</w:t>
      </w:r>
      <w:r>
        <w:rPr>
          <w:rFonts w:eastAsia="Aptos"/>
        </w:rPr>
        <w:t xml:space="preserve">n developing the Industries of the Future. </w:t>
      </w:r>
    </w:p>
    <w:p w14:paraId="3D2F8B5A" w14:textId="71E43513" w:rsidR="00C16C91" w:rsidRDefault="00C16C91" w:rsidP="002F2297">
      <w:pPr>
        <w:pStyle w:val="Heading2"/>
        <w:rPr>
          <w:lang w:eastAsia="en-GB"/>
        </w:rPr>
      </w:pPr>
      <w:bookmarkStart w:id="13" w:name="_Toc163295752"/>
      <w:bookmarkStart w:id="14" w:name="_Toc163563836"/>
      <w:r>
        <w:rPr>
          <w:lang w:eastAsia="en-GB"/>
        </w:rPr>
        <w:t xml:space="preserve">The growing </w:t>
      </w:r>
      <w:r w:rsidR="00A76F8E" w:rsidRPr="002F2297">
        <w:t>sophistication</w:t>
      </w:r>
      <w:r w:rsidR="00A76F8E">
        <w:rPr>
          <w:lang w:eastAsia="en-GB"/>
        </w:rPr>
        <w:t xml:space="preserve"> and cost </w:t>
      </w:r>
      <w:r>
        <w:rPr>
          <w:lang w:eastAsia="en-GB"/>
        </w:rPr>
        <w:t>of digitised R&amp;</w:t>
      </w:r>
      <w:r w:rsidR="00C161D2">
        <w:rPr>
          <w:lang w:eastAsia="en-GB"/>
        </w:rPr>
        <w:t>D</w:t>
      </w:r>
      <w:bookmarkEnd w:id="13"/>
      <w:bookmarkEnd w:id="14"/>
      <w:r w:rsidR="00C161D2">
        <w:rPr>
          <w:lang w:eastAsia="en-GB"/>
        </w:rPr>
        <w:t xml:space="preserve"> </w:t>
      </w:r>
    </w:p>
    <w:p w14:paraId="50A61F13" w14:textId="50DF58BF" w:rsidR="00C16C91" w:rsidRDefault="002A1530" w:rsidP="002A1530">
      <w:r>
        <w:rPr>
          <w:color w:val="2A3140"/>
          <w:lang w:val="en-GB"/>
        </w:rPr>
        <w:t xml:space="preserve">Business researchers, particularly medium-sized businesses with the potential to grow through R&amp;D, often require access to sophisticated and expensive digital hardware and software to undertake and complete research projects. </w:t>
      </w:r>
    </w:p>
    <w:p w14:paraId="5009ACA5" w14:textId="5341948A" w:rsidR="00274A39" w:rsidRDefault="00274A39" w:rsidP="00274A39">
      <w:pPr>
        <w:rPr>
          <w:lang w:val="en-GB"/>
        </w:rPr>
      </w:pPr>
      <w:r w:rsidRPr="00181DB2">
        <w:rPr>
          <w:lang w:val="en-GB"/>
        </w:rPr>
        <w:t xml:space="preserve">The initial </w:t>
      </w:r>
      <w:r>
        <w:rPr>
          <w:lang w:val="en-GB"/>
        </w:rPr>
        <w:t xml:space="preserve">cost of these investments </w:t>
      </w:r>
      <w:r w:rsidRPr="00181DB2">
        <w:rPr>
          <w:lang w:val="en-GB"/>
        </w:rPr>
        <w:t>can be a significant barrier</w:t>
      </w:r>
      <w:r>
        <w:rPr>
          <w:lang w:val="en-GB"/>
        </w:rPr>
        <w:t xml:space="preserve"> to undertaking R&amp;D</w:t>
      </w:r>
      <w:r w:rsidRPr="00181DB2">
        <w:rPr>
          <w:lang w:val="en-GB"/>
        </w:rPr>
        <w:t>.</w:t>
      </w:r>
      <w:r>
        <w:rPr>
          <w:lang w:val="en-GB"/>
        </w:rPr>
        <w:t xml:space="preserve"> Costs also arise in accessing testing and scale-up facilities (where they exist) </w:t>
      </w:r>
      <w:r>
        <w:t xml:space="preserve">and the requirement for specialised skills. </w:t>
      </w:r>
    </w:p>
    <w:p w14:paraId="7E710525" w14:textId="1A207B9F" w:rsidR="002A1530" w:rsidRDefault="00274A39" w:rsidP="004559FC">
      <w:r>
        <w:t xml:space="preserve">In </w:t>
      </w:r>
      <w:r w:rsidR="00C16C91">
        <w:t>the manufacturing sector</w:t>
      </w:r>
      <w:r w:rsidR="004559FC">
        <w:t xml:space="preserve"> t</w:t>
      </w:r>
      <w:r w:rsidR="00C16C91">
        <w:t xml:space="preserve">hese digitally enabled technologies include </w:t>
      </w:r>
      <w:r w:rsidR="00A76F8E">
        <w:t>high</w:t>
      </w:r>
      <w:r w:rsidR="006C6255">
        <w:t>-performance computing, 3D printing, CNC machines, robots and cobots, laser cutting, IoT sensors, AI quality control systems, AR/VR systems, HPC systems, advanced metrology equipment, PLM software, CAD/CAM software,</w:t>
      </w:r>
      <w:r w:rsidR="00C16C91">
        <w:t xml:space="preserve"> and chemical analysis and material characterisation instruments. </w:t>
      </w:r>
    </w:p>
    <w:p w14:paraId="147FB5BB" w14:textId="56986626" w:rsidR="00B00E87" w:rsidRDefault="00B00E87" w:rsidP="00B00E87">
      <w:pPr>
        <w:rPr>
          <w:lang w:val="en-GB"/>
        </w:rPr>
      </w:pPr>
      <w:r>
        <w:rPr>
          <w:lang w:val="en-GB"/>
        </w:rPr>
        <w:t xml:space="preserve">The impact of this barrier on business R&amp;D is an issue worthy of further exploration, given that Australia once had an “access to major research facilities” program. </w:t>
      </w:r>
    </w:p>
    <w:p w14:paraId="66E777CA" w14:textId="5D0A0939" w:rsidR="00744CD1" w:rsidRDefault="00C16C91" w:rsidP="002F2297">
      <w:pPr>
        <w:pStyle w:val="Heading2"/>
        <w:rPr>
          <w:lang w:eastAsia="en-GB"/>
        </w:rPr>
      </w:pPr>
      <w:bookmarkStart w:id="15" w:name="_Toc163295754"/>
      <w:bookmarkStart w:id="16" w:name="_Toc163563837"/>
      <w:r>
        <w:rPr>
          <w:lang w:eastAsia="en-GB"/>
        </w:rPr>
        <w:t xml:space="preserve">The </w:t>
      </w:r>
      <w:r w:rsidRPr="002F2297">
        <w:t>gravitational</w:t>
      </w:r>
      <w:r>
        <w:rPr>
          <w:lang w:eastAsia="en-GB"/>
        </w:rPr>
        <w:t xml:space="preserve"> </w:t>
      </w:r>
      <w:r w:rsidR="004D6EFD">
        <w:rPr>
          <w:lang w:eastAsia="en-GB"/>
        </w:rPr>
        <w:t xml:space="preserve">pull </w:t>
      </w:r>
      <w:r>
        <w:rPr>
          <w:lang w:eastAsia="en-GB"/>
        </w:rPr>
        <w:t xml:space="preserve">of </w:t>
      </w:r>
      <w:r w:rsidR="00744CD1">
        <w:rPr>
          <w:lang w:eastAsia="en-GB"/>
        </w:rPr>
        <w:t xml:space="preserve">globally oriented </w:t>
      </w:r>
      <w:r>
        <w:rPr>
          <w:lang w:eastAsia="en-GB"/>
        </w:rPr>
        <w:t xml:space="preserve">regional </w:t>
      </w:r>
      <w:r w:rsidR="00744CD1">
        <w:rPr>
          <w:lang w:eastAsia="en-GB"/>
        </w:rPr>
        <w:t>innovation ecosystems</w:t>
      </w:r>
      <w:bookmarkEnd w:id="15"/>
      <w:bookmarkEnd w:id="16"/>
    </w:p>
    <w:p w14:paraId="3907B02A" w14:textId="014BC31B" w:rsidR="009453A8" w:rsidRDefault="009453A8" w:rsidP="000F324E">
      <w:pPr>
        <w:rPr>
          <w:lang w:eastAsia="en-GB"/>
        </w:rPr>
      </w:pPr>
      <w:r>
        <w:rPr>
          <w:lang w:eastAsia="en-GB"/>
        </w:rPr>
        <w:t xml:space="preserve">Australia has a strong seed and early-stage venture capital industry sector, but access to later-stage growth funding is scarce, particularly for narrowly conceived niche projects. State Governments have tried to fill a gap in this area. </w:t>
      </w:r>
    </w:p>
    <w:p w14:paraId="59A5473E" w14:textId="4415820B" w:rsidR="00626A98" w:rsidRDefault="009453A8" w:rsidP="000F324E">
      <w:pPr>
        <w:rPr>
          <w:lang w:eastAsia="en-GB"/>
        </w:rPr>
      </w:pPr>
      <w:r>
        <w:rPr>
          <w:lang w:eastAsia="en-GB"/>
        </w:rPr>
        <w:t xml:space="preserve">Venture capital firms like to invest at scale </w:t>
      </w:r>
      <w:r w:rsidR="00626A98">
        <w:rPr>
          <w:lang w:eastAsia="en-GB"/>
        </w:rPr>
        <w:t>in building R&amp;D start-ups (e.g., pharmaceutical or software start-ups)</w:t>
      </w:r>
      <w:r>
        <w:rPr>
          <w:lang w:eastAsia="en-GB"/>
        </w:rPr>
        <w:t xml:space="preserve">. Those investments </w:t>
      </w:r>
      <w:r w:rsidR="00626A98">
        <w:rPr>
          <w:lang w:eastAsia="en-GB"/>
        </w:rPr>
        <w:t xml:space="preserve">tend to </w:t>
      </w:r>
      <w:r>
        <w:rPr>
          <w:lang w:eastAsia="en-GB"/>
        </w:rPr>
        <w:t xml:space="preserve">be made </w:t>
      </w:r>
      <w:r w:rsidR="00626A98">
        <w:rPr>
          <w:lang w:eastAsia="en-GB"/>
        </w:rPr>
        <w:t xml:space="preserve">where the innovation ecosystem is strong—San Francisco and Boston, for example. </w:t>
      </w:r>
    </w:p>
    <w:p w14:paraId="37276CB6" w14:textId="4B7B70DA" w:rsidR="00744CD1" w:rsidRDefault="00744CD1" w:rsidP="000F324E">
      <w:pPr>
        <w:rPr>
          <w:lang w:eastAsia="en-GB"/>
        </w:rPr>
      </w:pPr>
      <w:r>
        <w:rPr>
          <w:lang w:eastAsia="en-GB"/>
        </w:rPr>
        <w:t>Australian-formed and growing technology companies that have grown to global status</w:t>
      </w:r>
      <w:r w:rsidR="00C16C91">
        <w:rPr>
          <w:lang w:eastAsia="en-GB"/>
        </w:rPr>
        <w:t xml:space="preserve">, such as Atlassian, </w:t>
      </w:r>
      <w:r>
        <w:rPr>
          <w:lang w:eastAsia="en-GB"/>
        </w:rPr>
        <w:t>undertake their R&amp;D in regional innovation ecosystems like Palo Alto, India, Boston, Oxford/Cambridge.</w:t>
      </w:r>
    </w:p>
    <w:p w14:paraId="6BF123D9" w14:textId="3F36FF21" w:rsidR="009453A8" w:rsidRDefault="009453A8" w:rsidP="000F324E">
      <w:pPr>
        <w:rPr>
          <w:lang w:eastAsia="en-GB"/>
        </w:rPr>
      </w:pPr>
      <w:r>
        <w:rPr>
          <w:lang w:eastAsia="en-GB"/>
        </w:rPr>
        <w:t xml:space="preserve">Some fast-growing technology start-ups have chosen to maintain their head offices in Australia but source their R&amp;D internationally. </w:t>
      </w:r>
    </w:p>
    <w:p w14:paraId="5A1ABDD0" w14:textId="56044511" w:rsidR="00404EAE" w:rsidRDefault="00710DCC" w:rsidP="002F2297">
      <w:pPr>
        <w:pStyle w:val="Heading2"/>
        <w:rPr>
          <w:lang w:eastAsia="en-GB"/>
        </w:rPr>
      </w:pPr>
      <w:bookmarkStart w:id="17" w:name="_Toc163295755"/>
      <w:bookmarkStart w:id="18" w:name="_Toc163563838"/>
      <w:r>
        <w:rPr>
          <w:lang w:eastAsia="en-GB"/>
        </w:rPr>
        <w:t>P</w:t>
      </w:r>
      <w:r w:rsidR="00404EAE">
        <w:rPr>
          <w:lang w:eastAsia="en-GB"/>
        </w:rPr>
        <w:t>rivatisation</w:t>
      </w:r>
      <w:r w:rsidR="006921A5">
        <w:rPr>
          <w:lang w:eastAsia="en-GB"/>
        </w:rPr>
        <w:t xml:space="preserve">s, </w:t>
      </w:r>
      <w:r w:rsidR="006921A5" w:rsidRPr="002F2297">
        <w:t>mergers</w:t>
      </w:r>
      <w:r w:rsidR="006921A5">
        <w:rPr>
          <w:lang w:eastAsia="en-GB"/>
        </w:rPr>
        <w:t>, and acquisitions</w:t>
      </w:r>
      <w:bookmarkEnd w:id="17"/>
      <w:bookmarkEnd w:id="18"/>
    </w:p>
    <w:p w14:paraId="1337DED6" w14:textId="6B3343DF" w:rsidR="00824824" w:rsidRDefault="00824824" w:rsidP="00404EAE">
      <w:pPr>
        <w:rPr>
          <w:lang w:eastAsia="en-GB"/>
        </w:rPr>
      </w:pPr>
      <w:r>
        <w:rPr>
          <w:lang w:eastAsia="en-GB"/>
        </w:rPr>
        <w:t xml:space="preserve">It is likely that the </w:t>
      </w:r>
      <w:r w:rsidR="00404EAE">
        <w:rPr>
          <w:lang w:eastAsia="en-GB"/>
        </w:rPr>
        <w:t>privatisation of energy production and distribution corporations, particularly in NSW</w:t>
      </w:r>
      <w:r w:rsidR="004559FC">
        <w:rPr>
          <w:lang w:eastAsia="en-GB"/>
        </w:rPr>
        <w:t xml:space="preserve"> </w:t>
      </w:r>
      <w:r>
        <w:rPr>
          <w:lang w:eastAsia="en-GB"/>
        </w:rPr>
        <w:t>impacted significantly on R&amp;D investment</w:t>
      </w:r>
      <w:r w:rsidR="00404EAE">
        <w:rPr>
          <w:lang w:eastAsia="en-GB"/>
        </w:rPr>
        <w:t>.</w:t>
      </w:r>
      <w:r>
        <w:rPr>
          <w:lang w:eastAsia="en-GB"/>
        </w:rPr>
        <w:t xml:space="preserve"> </w:t>
      </w:r>
      <w:r w:rsidR="0084125F">
        <w:rPr>
          <w:lang w:eastAsia="en-GB"/>
        </w:rPr>
        <w:t>Even when in public ownership, government business enterprises, R&amp;D expenditure was classified as business R&amp;D</w:t>
      </w:r>
    </w:p>
    <w:p w14:paraId="03C96ADF" w14:textId="7C0FD599" w:rsidR="00DE2763" w:rsidRDefault="004F5BDD" w:rsidP="00DE2763">
      <w:pPr>
        <w:rPr>
          <w:lang w:eastAsia="en-GB"/>
        </w:rPr>
      </w:pPr>
      <w:r>
        <w:rPr>
          <w:lang w:eastAsia="en-GB"/>
        </w:rPr>
        <w:t xml:space="preserve">When government-owned, business enterprises </w:t>
      </w:r>
      <w:r w:rsidR="0084125F">
        <w:rPr>
          <w:lang w:eastAsia="en-GB"/>
        </w:rPr>
        <w:t>tend to invest profits in R&amp;D. When privatised, surplus profits are</w:t>
      </w:r>
      <w:r>
        <w:rPr>
          <w:lang w:eastAsia="en-GB"/>
        </w:rPr>
        <w:t xml:space="preserve"> returned to shareholders. </w:t>
      </w:r>
      <w:r w:rsidR="00DE2763">
        <w:rPr>
          <w:lang w:eastAsia="en-GB"/>
        </w:rPr>
        <w:t>There is very limited information about how privatised enterprises are committing to R&amp;D in renewable energy.</w:t>
      </w:r>
    </w:p>
    <w:p w14:paraId="3677109F" w14:textId="0ACD5CE6" w:rsidR="00404EAE" w:rsidRDefault="00DE2763" w:rsidP="00FA6341">
      <w:pPr>
        <w:rPr>
          <w:lang w:eastAsia="en-GB"/>
        </w:rPr>
      </w:pPr>
      <w:r>
        <w:rPr>
          <w:lang w:eastAsia="en-GB"/>
        </w:rPr>
        <w:t>The largest energy suppliers in Australia are Origin Energy, AGL Energy, and Energy Australia. None of these companies</w:t>
      </w:r>
      <w:r w:rsidR="00C9251D">
        <w:rPr>
          <w:lang w:eastAsia="en-GB"/>
        </w:rPr>
        <w:t xml:space="preserve">, which absorbed the </w:t>
      </w:r>
      <w:r w:rsidR="004F1440">
        <w:rPr>
          <w:lang w:eastAsia="en-GB"/>
        </w:rPr>
        <w:t>State-</w:t>
      </w:r>
      <w:r w:rsidR="00C9251D">
        <w:rPr>
          <w:lang w:eastAsia="en-GB"/>
        </w:rPr>
        <w:t>owned suppliers,</w:t>
      </w:r>
      <w:r>
        <w:rPr>
          <w:lang w:eastAsia="en-GB"/>
        </w:rPr>
        <w:t xml:space="preserve"> mention research or R&amp;D in their Annual Reports. In 2022, Snowy Hydro reported a $0.5 billion R&amp;D offset. </w:t>
      </w:r>
    </w:p>
    <w:p w14:paraId="540F9027" w14:textId="088FA906" w:rsidR="00CE62F3" w:rsidRDefault="00710DCC" w:rsidP="00FA6341">
      <w:pPr>
        <w:rPr>
          <w:lang w:eastAsia="en-GB"/>
        </w:rPr>
      </w:pPr>
      <w:r>
        <w:rPr>
          <w:lang w:eastAsia="en-GB"/>
        </w:rPr>
        <w:t>Australian Defence Industries was privatised in 1999, p</w:t>
      </w:r>
      <w:r w:rsidRPr="00710DCC">
        <w:rPr>
          <w:lang w:eastAsia="en-GB"/>
        </w:rPr>
        <w:t xml:space="preserve">assing from government ownership </w:t>
      </w:r>
      <w:r w:rsidR="0053178A">
        <w:rPr>
          <w:lang w:eastAsia="en-GB"/>
        </w:rPr>
        <w:t>to the French defence company Thales. Thales undertakes research globally</w:t>
      </w:r>
      <w:r w:rsidR="00CE62F3">
        <w:rPr>
          <w:lang w:eastAsia="en-GB"/>
        </w:rPr>
        <w:t xml:space="preserve">, locating activities where it can secure the best deals with host governments and research organisations. </w:t>
      </w:r>
      <w:r w:rsidR="0053178A">
        <w:rPr>
          <w:lang w:eastAsia="en-GB"/>
        </w:rPr>
        <w:t>At this stage, not much of this R&amp;D comes to Australia.</w:t>
      </w:r>
      <w:r w:rsidR="00CE62F3">
        <w:rPr>
          <w:lang w:eastAsia="en-GB"/>
        </w:rPr>
        <w:t xml:space="preserve"> </w:t>
      </w:r>
    </w:p>
    <w:p w14:paraId="48F5C121" w14:textId="19DBD40A" w:rsidR="00C9251D" w:rsidRDefault="004F1440" w:rsidP="00FA6341">
      <w:pPr>
        <w:rPr>
          <w:lang w:eastAsia="en-GB"/>
        </w:rPr>
      </w:pPr>
      <w:r>
        <w:rPr>
          <w:lang w:eastAsia="en-GB"/>
        </w:rPr>
        <w:t xml:space="preserve">Recent research has </w:t>
      </w:r>
      <w:r w:rsidR="00C9251D">
        <w:rPr>
          <w:lang w:eastAsia="en-GB"/>
        </w:rPr>
        <w:t>suggest</w:t>
      </w:r>
      <w:r>
        <w:rPr>
          <w:lang w:eastAsia="en-GB"/>
        </w:rPr>
        <w:t>ed</w:t>
      </w:r>
      <w:r w:rsidR="00C9251D">
        <w:rPr>
          <w:lang w:eastAsia="en-GB"/>
        </w:rPr>
        <w:t xml:space="preserve"> that privatised firms focus on a narrower set of technologies as a response to increased pressure for profitability and short-term results</w:t>
      </w:r>
      <w:r w:rsidR="00A440CA">
        <w:rPr>
          <w:lang w:eastAsia="en-GB"/>
        </w:rPr>
        <w:t>. Privatisation will also</w:t>
      </w:r>
      <w:r w:rsidR="00C9251D">
        <w:rPr>
          <w:lang w:eastAsia="en-GB"/>
        </w:rPr>
        <w:t xml:space="preserve"> increase the extent to which they collaborate with external inventors, both locally </w:t>
      </w:r>
      <w:r w:rsidR="00C9251D" w:rsidRPr="00CC51FE">
        <w:rPr>
          <w:i/>
          <w:iCs/>
          <w:lang w:eastAsia="en-GB"/>
        </w:rPr>
        <w:t>and</w:t>
      </w:r>
      <w:r w:rsidR="00C9251D">
        <w:rPr>
          <w:lang w:eastAsia="en-GB"/>
        </w:rPr>
        <w:t xml:space="preserve"> internationally. </w:t>
      </w:r>
    </w:p>
    <w:p w14:paraId="4E8A3D41" w14:textId="77777777" w:rsidR="00746125" w:rsidRDefault="00746125" w:rsidP="00746125">
      <w:pPr>
        <w:pStyle w:val="Heading2"/>
        <w:rPr>
          <w:lang w:val="en-GB"/>
        </w:rPr>
      </w:pPr>
      <w:bookmarkStart w:id="19" w:name="_Toc163563839"/>
      <w:r>
        <w:rPr>
          <w:lang w:val="en-GB"/>
        </w:rPr>
        <w:t xml:space="preserve">Knowledge and skills </w:t>
      </w:r>
      <w:r w:rsidRPr="002F2297">
        <w:t>shortages</w:t>
      </w:r>
      <w:bookmarkEnd w:id="19"/>
    </w:p>
    <w:p w14:paraId="285CD3B6" w14:textId="77777777" w:rsidR="00746125" w:rsidRDefault="00746125" w:rsidP="00746125">
      <w:pPr>
        <w:rPr>
          <w:color w:val="2A3140"/>
          <w:lang w:val="en-GB"/>
        </w:rPr>
      </w:pPr>
      <w:r>
        <w:rPr>
          <w:color w:val="2A3140"/>
          <w:lang w:val="en-GB"/>
        </w:rPr>
        <w:t>U</w:t>
      </w:r>
      <w:r w:rsidRPr="00DE0C98">
        <w:rPr>
          <w:color w:val="2A3140"/>
          <w:lang w:val="en-GB"/>
        </w:rPr>
        <w:t xml:space="preserve">niversities </w:t>
      </w:r>
      <w:r>
        <w:rPr>
          <w:color w:val="2A3140"/>
          <w:lang w:val="en-GB"/>
        </w:rPr>
        <w:t xml:space="preserve">and TAFE/VET institutions </w:t>
      </w:r>
      <w:r w:rsidRPr="00DE0C98">
        <w:rPr>
          <w:color w:val="2A3140"/>
          <w:lang w:val="en-GB"/>
        </w:rPr>
        <w:t xml:space="preserve">face challenges </w:t>
      </w:r>
      <w:r>
        <w:rPr>
          <w:color w:val="2A3140"/>
          <w:lang w:val="en-GB"/>
        </w:rPr>
        <w:t>keeping pace with the sheer speed of technological advances. They can sometimes be slow to update their curriculums, leading to a skills gap in which</w:t>
      </w:r>
      <w:r w:rsidRPr="00DE0C98">
        <w:rPr>
          <w:color w:val="2A3140"/>
          <w:lang w:val="en-GB"/>
        </w:rPr>
        <w:t xml:space="preserve"> graduates may not have the latest knowledge required by employers. </w:t>
      </w:r>
    </w:p>
    <w:p w14:paraId="0C32B294" w14:textId="77777777" w:rsidR="00746125" w:rsidRPr="00DE0C98" w:rsidRDefault="00746125" w:rsidP="00746125">
      <w:pPr>
        <w:rPr>
          <w:color w:val="2A3140"/>
          <w:lang w:val="en-GB"/>
        </w:rPr>
      </w:pPr>
      <w:r w:rsidRPr="00DE0C98">
        <w:rPr>
          <w:color w:val="2A3140"/>
          <w:lang w:val="en-GB"/>
        </w:rPr>
        <w:t xml:space="preserve">Moreover, there is a growing </w:t>
      </w:r>
      <w:r>
        <w:rPr>
          <w:color w:val="2A3140"/>
          <w:lang w:val="en-GB"/>
        </w:rPr>
        <w:t xml:space="preserve">requirement </w:t>
      </w:r>
      <w:r w:rsidRPr="00DE0C98">
        <w:rPr>
          <w:color w:val="2A3140"/>
          <w:lang w:val="en-GB"/>
        </w:rPr>
        <w:t>for interdisciplinary programs that combine technical skills with domain-specific knowledge, preparing students for the complexities of modern R&amp;D projects.</w:t>
      </w:r>
    </w:p>
    <w:p w14:paraId="0FF999DB" w14:textId="77777777" w:rsidR="00746125" w:rsidRDefault="00746125" w:rsidP="00746125">
      <w:pPr>
        <w:rPr>
          <w:color w:val="2A3140"/>
          <w:lang w:val="en-GB"/>
        </w:rPr>
      </w:pPr>
      <w:r>
        <w:rPr>
          <w:color w:val="2A3140"/>
          <w:lang w:val="en-GB"/>
        </w:rPr>
        <w:t>The newly established Tech Council acknowledges this problem, but there is a lot of catching up to do.</w:t>
      </w:r>
    </w:p>
    <w:p w14:paraId="6ADEF11F" w14:textId="4F0E86CE" w:rsidR="006676A7" w:rsidRDefault="000F324E" w:rsidP="002F2297">
      <w:pPr>
        <w:pStyle w:val="Heading2"/>
        <w:rPr>
          <w:lang w:eastAsia="en-GB"/>
        </w:rPr>
      </w:pPr>
      <w:bookmarkStart w:id="20" w:name="_Toc163295756"/>
      <w:bookmarkStart w:id="21" w:name="_Toc163563840"/>
      <w:r>
        <w:rPr>
          <w:lang w:eastAsia="en-GB"/>
        </w:rPr>
        <w:t xml:space="preserve">Investor </w:t>
      </w:r>
      <w:r w:rsidRPr="002F2297">
        <w:t>p</w:t>
      </w:r>
      <w:r w:rsidR="006676A7" w:rsidRPr="002F2297">
        <w:t>ressure</w:t>
      </w:r>
      <w:r w:rsidR="006676A7">
        <w:rPr>
          <w:lang w:eastAsia="en-GB"/>
        </w:rPr>
        <w:t xml:space="preserve"> for shareholder value</w:t>
      </w:r>
      <w:bookmarkEnd w:id="20"/>
      <w:bookmarkEnd w:id="21"/>
    </w:p>
    <w:p w14:paraId="3E154D51" w14:textId="4BA5AB78" w:rsidR="00BE6A9A" w:rsidRDefault="00BE6A9A" w:rsidP="0053178A">
      <w:pPr>
        <w:rPr>
          <w:lang w:eastAsia="en-GB"/>
        </w:rPr>
      </w:pPr>
      <w:r>
        <w:rPr>
          <w:lang w:eastAsia="en-GB"/>
        </w:rPr>
        <w:t xml:space="preserve">Publicly listed companies are </w:t>
      </w:r>
      <w:r w:rsidR="0053178A">
        <w:rPr>
          <w:lang w:eastAsia="en-GB"/>
        </w:rPr>
        <w:t>constantly under pressure to maximise shareholder value, which</w:t>
      </w:r>
      <w:r>
        <w:rPr>
          <w:lang w:eastAsia="en-GB"/>
        </w:rPr>
        <w:t xml:space="preserve"> can compromise investments in R&amp;D. The pressure comes from</w:t>
      </w:r>
      <w:r w:rsidR="0053178A">
        <w:rPr>
          <w:lang w:eastAsia="en-GB"/>
        </w:rPr>
        <w:t xml:space="preserve"> shareholders, financial markets, </w:t>
      </w:r>
      <w:r w:rsidR="00B053CC">
        <w:rPr>
          <w:lang w:eastAsia="en-GB"/>
        </w:rPr>
        <w:t xml:space="preserve">risk-averse </w:t>
      </w:r>
      <w:r>
        <w:rPr>
          <w:lang w:eastAsia="en-GB"/>
        </w:rPr>
        <w:t>boards of directors, executive compensation structures, and regulatory requirements</w:t>
      </w:r>
      <w:r w:rsidR="0053178A">
        <w:rPr>
          <w:lang w:eastAsia="en-GB"/>
        </w:rPr>
        <w:t xml:space="preserve">. </w:t>
      </w:r>
    </w:p>
    <w:p w14:paraId="0E67E083" w14:textId="6510BEC7" w:rsidR="00626A98" w:rsidRDefault="00544998" w:rsidP="00626A98">
      <w:pPr>
        <w:rPr>
          <w:lang w:eastAsia="en-GB"/>
        </w:rPr>
      </w:pPr>
      <w:r>
        <w:rPr>
          <w:lang w:eastAsia="en-GB"/>
        </w:rPr>
        <w:t xml:space="preserve">Capturing shareholder value has become a driving factor in the acquisition or </w:t>
      </w:r>
      <w:r w:rsidR="00626A98">
        <w:rPr>
          <w:lang w:eastAsia="en-GB"/>
        </w:rPr>
        <w:t>takeover of Australian business</w:t>
      </w:r>
      <w:r>
        <w:rPr>
          <w:lang w:eastAsia="en-GB"/>
        </w:rPr>
        <w:t>es</w:t>
      </w:r>
      <w:r w:rsidR="00626A98">
        <w:rPr>
          <w:lang w:eastAsia="en-GB"/>
        </w:rPr>
        <w:t xml:space="preserve"> by multinational</w:t>
      </w:r>
      <w:r w:rsidR="00B053CC">
        <w:rPr>
          <w:lang w:eastAsia="en-GB"/>
        </w:rPr>
        <w:t xml:space="preserve"> </w:t>
      </w:r>
      <w:r w:rsidR="00626A98">
        <w:rPr>
          <w:lang w:eastAsia="en-GB"/>
        </w:rPr>
        <w:t>corporations</w:t>
      </w:r>
      <w:r>
        <w:rPr>
          <w:lang w:eastAsia="en-GB"/>
        </w:rPr>
        <w:t xml:space="preserve"> and </w:t>
      </w:r>
      <w:r w:rsidR="00626A98">
        <w:rPr>
          <w:lang w:eastAsia="en-GB"/>
        </w:rPr>
        <w:t>private equity firms</w:t>
      </w:r>
      <w:r>
        <w:rPr>
          <w:lang w:eastAsia="en-GB"/>
        </w:rPr>
        <w:t xml:space="preserve">. </w:t>
      </w:r>
      <w:r w:rsidR="00626A98">
        <w:rPr>
          <w:lang w:eastAsia="en-GB"/>
        </w:rPr>
        <w:t xml:space="preserve">R&amp;D is cut back or eliminated entirely unless </w:t>
      </w:r>
      <w:r w:rsidR="00CC51FE">
        <w:rPr>
          <w:lang w:eastAsia="en-GB"/>
        </w:rPr>
        <w:t>it offers a compelling, distinctive capability that can</w:t>
      </w:r>
      <w:r w:rsidR="00626A98">
        <w:rPr>
          <w:lang w:eastAsia="en-GB"/>
        </w:rPr>
        <w:t xml:space="preserve"> be nurtured locally. </w:t>
      </w:r>
    </w:p>
    <w:p w14:paraId="1A5723FC" w14:textId="214B1D36" w:rsidR="00544998" w:rsidRDefault="006C1D1D" w:rsidP="000F324E">
      <w:pPr>
        <w:rPr>
          <w:lang w:eastAsia="en-GB"/>
        </w:rPr>
      </w:pPr>
      <w:r>
        <w:rPr>
          <w:lang w:eastAsia="en-GB"/>
        </w:rPr>
        <w:t xml:space="preserve">Australian Boards have been interested in, and CEOs are rewarded for, increasing their share price and shareholder value. </w:t>
      </w:r>
      <w:r w:rsidR="00544998">
        <w:rPr>
          <w:lang w:eastAsia="en-GB"/>
        </w:rPr>
        <w:t xml:space="preserve">This incentivises boards </w:t>
      </w:r>
      <w:r w:rsidR="00544998" w:rsidRPr="00B053CC">
        <w:rPr>
          <w:lang w:eastAsia="en-GB"/>
        </w:rPr>
        <w:t>to use profits for share buybacks rather than global growth through R&amp;D.</w:t>
      </w:r>
    </w:p>
    <w:p w14:paraId="7AE27E61" w14:textId="3F63BF35" w:rsidR="00B053CC" w:rsidRDefault="00B053CC" w:rsidP="002F2297">
      <w:pPr>
        <w:pStyle w:val="Heading1"/>
        <w:rPr>
          <w:lang w:eastAsia="en-GB"/>
        </w:rPr>
      </w:pPr>
      <w:bookmarkStart w:id="22" w:name="_Toc163563841"/>
      <w:r>
        <w:rPr>
          <w:lang w:eastAsia="en-GB"/>
        </w:rPr>
        <w:t>Reversing the slide</w:t>
      </w:r>
      <w:bookmarkEnd w:id="22"/>
      <w:r>
        <w:rPr>
          <w:lang w:eastAsia="en-GB"/>
        </w:rPr>
        <w:t xml:space="preserve"> </w:t>
      </w:r>
    </w:p>
    <w:p w14:paraId="7313F4E1" w14:textId="239FC15F" w:rsidR="00B053CC" w:rsidRDefault="00B053CC" w:rsidP="00B053CC">
      <w:pPr>
        <w:rPr>
          <w:lang w:eastAsia="en-GB"/>
        </w:rPr>
      </w:pPr>
      <w:r>
        <w:rPr>
          <w:lang w:eastAsia="en-GB"/>
        </w:rPr>
        <w:t xml:space="preserve">Reversing the slide in Australia’s R&amp;D will involve addressing these underlying causes. Recent advocacy for lifting R&amp;D has only addressed symptoms of the problem and made the task look easy. </w:t>
      </w:r>
    </w:p>
    <w:p w14:paraId="1182954A" w14:textId="3F8FD6CA" w:rsidR="00B053CC" w:rsidRPr="00B053CC" w:rsidRDefault="00B053CC" w:rsidP="00B053CC">
      <w:pPr>
        <w:rPr>
          <w:lang w:eastAsia="en-GB"/>
        </w:rPr>
      </w:pPr>
      <w:r>
        <w:rPr>
          <w:lang w:eastAsia="en-GB"/>
        </w:rPr>
        <w:t xml:space="preserve">Reversing the slide will be the subject of the next Paper. </w:t>
      </w:r>
    </w:p>
    <w:p w14:paraId="650F0CD5" w14:textId="77777777" w:rsidR="00B053CC" w:rsidRPr="00B053CC" w:rsidRDefault="00B053CC" w:rsidP="000F324E">
      <w:pPr>
        <w:rPr>
          <w:lang w:eastAsia="en-GB"/>
        </w:rPr>
      </w:pPr>
    </w:p>
    <w:sectPr w:rsidR="00B053CC" w:rsidRPr="00B053CC" w:rsidSect="00563FB7">
      <w:footerReference w:type="even" r:id="rId11"/>
      <w:footerReference w:type="default" r:id="rId12"/>
      <w:pgSz w:w="11901" w:h="16817" w:code="9"/>
      <w:pgMar w:top="1440" w:right="1440" w:bottom="1440" w:left="1440" w:header="93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2615" w14:textId="77777777" w:rsidR="00563FB7" w:rsidRDefault="00563FB7" w:rsidP="00745B80">
      <w:pPr>
        <w:spacing w:before="0" w:after="0"/>
      </w:pPr>
      <w:r>
        <w:separator/>
      </w:r>
    </w:p>
  </w:endnote>
  <w:endnote w:type="continuationSeparator" w:id="0">
    <w:p w14:paraId="2F72D350" w14:textId="77777777" w:rsidR="00563FB7" w:rsidRDefault="00563FB7" w:rsidP="00745B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291757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0676CA" w14:textId="4F6E0934" w:rsidR="00114FAB" w:rsidRDefault="00114FAB" w:rsidP="004D6E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6DDEBB" w14:textId="77777777" w:rsidR="00114FAB" w:rsidRDefault="00114FAB" w:rsidP="00114F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617750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19B264" w14:textId="06D075DF" w:rsidR="00114FAB" w:rsidRDefault="00114FAB" w:rsidP="004D6E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349A8C" w14:textId="0696A3BE" w:rsidR="00114FAB" w:rsidRDefault="00327183" w:rsidP="00114FAB">
    <w:pPr>
      <w:pStyle w:val="Footer"/>
      <w:ind w:right="360"/>
    </w:pPr>
    <w:r>
      <w:t>© John H Howard,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7C14" w14:textId="77777777" w:rsidR="00563FB7" w:rsidRDefault="00563FB7" w:rsidP="00745B80">
      <w:pPr>
        <w:spacing w:before="0" w:after="0"/>
      </w:pPr>
      <w:r>
        <w:separator/>
      </w:r>
    </w:p>
  </w:footnote>
  <w:footnote w:type="continuationSeparator" w:id="0">
    <w:p w14:paraId="3A2AA49D" w14:textId="77777777" w:rsidR="00563FB7" w:rsidRDefault="00563FB7" w:rsidP="00745B80">
      <w:pPr>
        <w:spacing w:before="0" w:after="0"/>
      </w:pPr>
      <w:r>
        <w:continuationSeparator/>
      </w:r>
    </w:p>
  </w:footnote>
  <w:footnote w:id="1">
    <w:p w14:paraId="573475F7" w14:textId="77777777" w:rsidR="00E13EFB" w:rsidRPr="001136A6" w:rsidRDefault="00E13EFB" w:rsidP="00CC51FE">
      <w:pPr>
        <w:pStyle w:val="FootnoteText"/>
        <w:spacing w:line="216" w:lineRule="auto"/>
        <w:rPr>
          <w:sz w:val="16"/>
          <w:szCs w:val="16"/>
        </w:rPr>
      </w:pPr>
      <w:r w:rsidRPr="001136A6">
        <w:rPr>
          <w:rStyle w:val="FootnoteReference"/>
          <w:sz w:val="16"/>
          <w:szCs w:val="16"/>
        </w:rPr>
        <w:footnoteRef/>
      </w:r>
      <w:r w:rsidRPr="001136A6">
        <w:rPr>
          <w:sz w:val="16"/>
          <w:szCs w:val="16"/>
        </w:rPr>
        <w:t xml:space="preserve"> </w:t>
      </w:r>
      <w:proofErr w:type="spellStart"/>
      <w:r w:rsidRPr="001136A6">
        <w:rPr>
          <w:sz w:val="16"/>
          <w:szCs w:val="16"/>
        </w:rPr>
        <w:t>AlpaBeta</w:t>
      </w:r>
      <w:proofErr w:type="spellEnd"/>
      <w:r w:rsidRPr="001136A6">
        <w:rPr>
          <w:sz w:val="16"/>
          <w:szCs w:val="16"/>
        </w:rPr>
        <w:t xml:space="preserve">, 2020. </w:t>
      </w:r>
      <w:r w:rsidRPr="001136A6">
        <w:rPr>
          <w:i/>
          <w:iCs/>
          <w:sz w:val="16"/>
          <w:szCs w:val="16"/>
        </w:rPr>
        <w:t xml:space="preserve">Australian Business Investment in Innovation: Levels, </w:t>
      </w:r>
      <w:proofErr w:type="gramStart"/>
      <w:r w:rsidRPr="001136A6">
        <w:rPr>
          <w:i/>
          <w:iCs/>
          <w:sz w:val="16"/>
          <w:szCs w:val="16"/>
        </w:rPr>
        <w:t>trends</w:t>
      </w:r>
      <w:proofErr w:type="gramEnd"/>
      <w:r w:rsidRPr="001136A6">
        <w:rPr>
          <w:i/>
          <w:iCs/>
          <w:sz w:val="16"/>
          <w:szCs w:val="16"/>
        </w:rPr>
        <w:t xml:space="preserve"> and drivers</w:t>
      </w:r>
      <w:r w:rsidRPr="001136A6">
        <w:rPr>
          <w:sz w:val="16"/>
          <w:szCs w:val="16"/>
        </w:rPr>
        <w:t xml:space="preserve">. A report prepared for the Office of Innovation and Science Australia. </w:t>
      </w:r>
      <w:hyperlink r:id="rId1" w:history="1">
        <w:r w:rsidRPr="001136A6">
          <w:rPr>
            <w:rStyle w:val="Hyperlink"/>
            <w:sz w:val="16"/>
            <w:szCs w:val="16"/>
          </w:rPr>
          <w:t>https://www.industry.gov.au/sites/default/files/2020-02/australian-business-investment-in-innovation-levels-trends-and-drivers.pdf</w:t>
        </w:r>
      </w:hyperlink>
    </w:p>
  </w:footnote>
  <w:footnote w:id="2">
    <w:p w14:paraId="405EEE78" w14:textId="77777777" w:rsidR="006C1D1D" w:rsidRPr="00274A39" w:rsidRDefault="006C1D1D" w:rsidP="009371B4">
      <w:pPr>
        <w:pStyle w:val="FootnoteText"/>
        <w:spacing w:line="216" w:lineRule="auto"/>
        <w:rPr>
          <w:sz w:val="16"/>
          <w:szCs w:val="16"/>
        </w:rPr>
      </w:pPr>
      <w:r w:rsidRPr="00274A39">
        <w:rPr>
          <w:rStyle w:val="FootnoteReference"/>
          <w:sz w:val="16"/>
          <w:szCs w:val="16"/>
        </w:rPr>
        <w:footnoteRef/>
      </w:r>
      <w:r w:rsidRPr="00274A39">
        <w:rPr>
          <w:sz w:val="16"/>
          <w:szCs w:val="16"/>
        </w:rPr>
        <w:t xml:space="preserve"> The Ministers were Kim Carr (twice), Greg </w:t>
      </w:r>
      <w:proofErr w:type="spellStart"/>
      <w:r w:rsidRPr="00274A39">
        <w:rPr>
          <w:sz w:val="16"/>
          <w:szCs w:val="16"/>
        </w:rPr>
        <w:t>Combet</w:t>
      </w:r>
      <w:proofErr w:type="spellEnd"/>
      <w:r w:rsidRPr="00274A39">
        <w:rPr>
          <w:sz w:val="16"/>
          <w:szCs w:val="16"/>
        </w:rPr>
        <w:t xml:space="preserve">, Chris Evans, Chris Bowen, Craig Emerson, Ian Macfarlane, Christopher Pyne, Greg Hunt, Arthur Sinodinos, Karen Andrews, Christian Porter, Angus Taylor, Melissa </w:t>
      </w:r>
      <w:proofErr w:type="gramStart"/>
      <w:r w:rsidRPr="00274A39">
        <w:rPr>
          <w:sz w:val="16"/>
          <w:szCs w:val="16"/>
        </w:rPr>
        <w:t>Price</w:t>
      </w:r>
      <w:proofErr w:type="gramEnd"/>
      <w:r w:rsidRPr="00274A39">
        <w:rPr>
          <w:sz w:val="16"/>
          <w:szCs w:val="16"/>
        </w:rPr>
        <w:t xml:space="preserve"> and Scott Morrison. </w:t>
      </w:r>
    </w:p>
  </w:footnote>
  <w:footnote w:id="3">
    <w:p w14:paraId="74682A57" w14:textId="77777777" w:rsidR="00407647" w:rsidRPr="00274A39" w:rsidRDefault="00407647" w:rsidP="00407647">
      <w:pPr>
        <w:pStyle w:val="FootnoteText"/>
        <w:rPr>
          <w:sz w:val="16"/>
          <w:szCs w:val="16"/>
        </w:rPr>
      </w:pPr>
      <w:r w:rsidRPr="00274A39">
        <w:rPr>
          <w:rStyle w:val="FootnoteReference"/>
          <w:sz w:val="16"/>
          <w:szCs w:val="16"/>
        </w:rPr>
        <w:footnoteRef/>
      </w:r>
      <w:r w:rsidRPr="00274A39">
        <w:rPr>
          <w:sz w:val="16"/>
          <w:szCs w:val="16"/>
        </w:rPr>
        <w:t xml:space="preserve"> </w:t>
      </w:r>
      <w:hyperlink r:id="rId2" w:history="1">
        <w:r w:rsidRPr="00274A39">
          <w:rPr>
            <w:rStyle w:val="Hyperlink"/>
            <w:sz w:val="16"/>
            <w:szCs w:val="16"/>
          </w:rPr>
          <w:t>https://www.bayer.com/en/sustainability/transparency-in-science-collaborations</w:t>
        </w:r>
      </w:hyperlink>
      <w:r w:rsidRPr="00274A39">
        <w:rPr>
          <w:sz w:val="16"/>
          <w:szCs w:val="16"/>
        </w:rPr>
        <w:t xml:space="preserve"> .</w:t>
      </w:r>
    </w:p>
  </w:footnote>
  <w:footnote w:id="4">
    <w:p w14:paraId="488F6239" w14:textId="5BA6338E" w:rsidR="00274A39" w:rsidRPr="00274A39" w:rsidRDefault="00274A39">
      <w:pPr>
        <w:pStyle w:val="FootnoteText"/>
        <w:rPr>
          <w:sz w:val="16"/>
          <w:szCs w:val="16"/>
        </w:rPr>
      </w:pPr>
      <w:r w:rsidRPr="00274A39">
        <w:rPr>
          <w:rStyle w:val="FootnoteReference"/>
          <w:sz w:val="16"/>
          <w:szCs w:val="16"/>
        </w:rPr>
        <w:footnoteRef/>
      </w:r>
      <w:r w:rsidRPr="00274A39">
        <w:rPr>
          <w:sz w:val="16"/>
          <w:szCs w:val="16"/>
        </w:rPr>
        <w:t xml:space="preserve"> </w:t>
      </w:r>
      <w:hyperlink r:id="rId3" w:history="1">
        <w:r w:rsidRPr="00274A39">
          <w:rPr>
            <w:rStyle w:val="Hyperlink"/>
            <w:sz w:val="16"/>
            <w:szCs w:val="16"/>
          </w:rPr>
          <w:t>https://finbox.com/DB:BAYN/explorer/rd_exp_margin</w:t>
        </w:r>
      </w:hyperlink>
      <w:r w:rsidRPr="00274A39">
        <w:rPr>
          <w:sz w:val="16"/>
          <w:szCs w:val="16"/>
        </w:rPr>
        <w:t xml:space="preserve"> </w:t>
      </w:r>
    </w:p>
  </w:footnote>
  <w:footnote w:id="5">
    <w:p w14:paraId="4C9707DE" w14:textId="666A04FC" w:rsidR="00E2405F" w:rsidRDefault="00E2405F" w:rsidP="00E2405F">
      <w:pPr>
        <w:pStyle w:val="FootnoteText"/>
      </w:pPr>
      <w:r w:rsidRPr="00274A39">
        <w:rPr>
          <w:rStyle w:val="FootnoteReference"/>
          <w:sz w:val="16"/>
          <w:szCs w:val="16"/>
        </w:rPr>
        <w:footnoteRef/>
      </w:r>
      <w:r w:rsidRPr="00274A39">
        <w:rPr>
          <w:sz w:val="16"/>
          <w:szCs w:val="16"/>
        </w:rPr>
        <w:t xml:space="preserve"> Anne Marie Knott , “R&amp;D Getting Harder, or Are Companies Just Getting Worse at It?” Harvard Business Review, March 21, 2017. </w:t>
      </w:r>
      <w:hyperlink r:id="rId4" w:history="1">
        <w:r w:rsidRPr="00274A39">
          <w:rPr>
            <w:rStyle w:val="Hyperlink"/>
            <w:sz w:val="16"/>
            <w:szCs w:val="16"/>
          </w:rPr>
          <w:t>https://hbr.org/2017/03/is-rd-getting-harder-or-are-companies-just-getting-worse-at-it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185"/>
    <w:multiLevelType w:val="hybridMultilevel"/>
    <w:tmpl w:val="AAC272A0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038A7143"/>
    <w:multiLevelType w:val="hybridMultilevel"/>
    <w:tmpl w:val="E4B48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12265"/>
    <w:multiLevelType w:val="hybridMultilevel"/>
    <w:tmpl w:val="49EAF80A"/>
    <w:lvl w:ilvl="0" w:tplc="08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 w15:restartNumberingAfterBreak="0">
    <w:nsid w:val="33092AC1"/>
    <w:multiLevelType w:val="hybridMultilevel"/>
    <w:tmpl w:val="AC2E0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93AF7"/>
    <w:multiLevelType w:val="multilevel"/>
    <w:tmpl w:val="1DD84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DC579A7"/>
    <w:multiLevelType w:val="hybridMultilevel"/>
    <w:tmpl w:val="4A260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9075EE"/>
    <w:multiLevelType w:val="hybridMultilevel"/>
    <w:tmpl w:val="3174B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F0420D"/>
    <w:multiLevelType w:val="hybridMultilevel"/>
    <w:tmpl w:val="792C0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B23D88"/>
    <w:multiLevelType w:val="multilevel"/>
    <w:tmpl w:val="EF9E3568"/>
    <w:lvl w:ilvl="0">
      <w:start w:val="1"/>
      <w:numFmt w:val="decimal"/>
      <w:lvlText w:val="%1"/>
      <w:lvlJc w:val="left"/>
      <w:pPr>
        <w:ind w:left="999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1431" w:hanging="864"/>
      </w:pPr>
    </w:lvl>
    <w:lvl w:ilvl="4">
      <w:start w:val="1"/>
      <w:numFmt w:val="decimal"/>
      <w:lvlText w:val="%1.%2.%3.%4.%5"/>
      <w:lvlJc w:val="left"/>
      <w:pPr>
        <w:ind w:left="1575" w:hanging="1008"/>
      </w:pPr>
    </w:lvl>
    <w:lvl w:ilvl="5">
      <w:start w:val="1"/>
      <w:numFmt w:val="decimal"/>
      <w:lvlText w:val="%1.%2.%3.%4.%5.%6"/>
      <w:lvlJc w:val="left"/>
      <w:pPr>
        <w:ind w:left="1719" w:hanging="1152"/>
      </w:pPr>
    </w:lvl>
    <w:lvl w:ilvl="6">
      <w:start w:val="1"/>
      <w:numFmt w:val="decimal"/>
      <w:lvlText w:val="%1.%2.%3.%4.%5.%6.%7"/>
      <w:lvlJc w:val="left"/>
      <w:pPr>
        <w:ind w:left="1863" w:hanging="1296"/>
      </w:pPr>
    </w:lvl>
    <w:lvl w:ilvl="7">
      <w:start w:val="1"/>
      <w:numFmt w:val="decimal"/>
      <w:lvlText w:val="%1.%2.%3.%4.%5.%6.%7.%8"/>
      <w:lvlJc w:val="left"/>
      <w:pPr>
        <w:ind w:left="2007" w:hanging="1440"/>
      </w:pPr>
    </w:lvl>
    <w:lvl w:ilvl="8">
      <w:start w:val="1"/>
      <w:numFmt w:val="decimal"/>
      <w:lvlText w:val="%1.%2.%3.%4.%5.%6.%7.%8.%9"/>
      <w:lvlJc w:val="left"/>
      <w:pPr>
        <w:ind w:left="2151" w:hanging="1584"/>
      </w:pPr>
    </w:lvl>
  </w:abstractNum>
  <w:abstractNum w:abstractNumId="9" w15:restartNumberingAfterBreak="0">
    <w:nsid w:val="603D6196"/>
    <w:multiLevelType w:val="multilevel"/>
    <w:tmpl w:val="5680E2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DCF006F"/>
    <w:multiLevelType w:val="hybridMultilevel"/>
    <w:tmpl w:val="D5B2B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AC4997"/>
    <w:multiLevelType w:val="hybridMultilevel"/>
    <w:tmpl w:val="C45C8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630D76"/>
    <w:multiLevelType w:val="multilevel"/>
    <w:tmpl w:val="0FB2A1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3016472">
    <w:abstractNumId w:val="12"/>
  </w:num>
  <w:num w:numId="2" w16cid:durableId="486290252">
    <w:abstractNumId w:val="4"/>
  </w:num>
  <w:num w:numId="3" w16cid:durableId="511190362">
    <w:abstractNumId w:val="4"/>
  </w:num>
  <w:num w:numId="4" w16cid:durableId="1190997357">
    <w:abstractNumId w:val="12"/>
  </w:num>
  <w:num w:numId="5" w16cid:durableId="1112016238">
    <w:abstractNumId w:val="12"/>
  </w:num>
  <w:num w:numId="6" w16cid:durableId="1570579119">
    <w:abstractNumId w:val="9"/>
  </w:num>
  <w:num w:numId="7" w16cid:durableId="443889726">
    <w:abstractNumId w:val="9"/>
  </w:num>
  <w:num w:numId="8" w16cid:durableId="1753966728">
    <w:abstractNumId w:val="8"/>
  </w:num>
  <w:num w:numId="9" w16cid:durableId="516122912">
    <w:abstractNumId w:val="8"/>
  </w:num>
  <w:num w:numId="10" w16cid:durableId="1543521776">
    <w:abstractNumId w:val="12"/>
  </w:num>
  <w:num w:numId="11" w16cid:durableId="1046681834">
    <w:abstractNumId w:val="12"/>
  </w:num>
  <w:num w:numId="12" w16cid:durableId="1924754869">
    <w:abstractNumId w:val="12"/>
  </w:num>
  <w:num w:numId="13" w16cid:durableId="1152408904">
    <w:abstractNumId w:val="10"/>
  </w:num>
  <w:num w:numId="14" w16cid:durableId="742065712">
    <w:abstractNumId w:val="2"/>
  </w:num>
  <w:num w:numId="15" w16cid:durableId="1667126720">
    <w:abstractNumId w:val="7"/>
  </w:num>
  <w:num w:numId="16" w16cid:durableId="2073310966">
    <w:abstractNumId w:val="3"/>
  </w:num>
  <w:num w:numId="17" w16cid:durableId="221841304">
    <w:abstractNumId w:val="0"/>
  </w:num>
  <w:num w:numId="18" w16cid:durableId="1813596855">
    <w:abstractNumId w:val="1"/>
  </w:num>
  <w:num w:numId="19" w16cid:durableId="1180001342">
    <w:abstractNumId w:val="6"/>
  </w:num>
  <w:num w:numId="20" w16cid:durableId="2028172565">
    <w:abstractNumId w:val="11"/>
  </w:num>
  <w:num w:numId="21" w16cid:durableId="1283534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80"/>
    <w:rsid w:val="000014DF"/>
    <w:rsid w:val="00002EB3"/>
    <w:rsid w:val="00005CC5"/>
    <w:rsid w:val="0001219A"/>
    <w:rsid w:val="000241DF"/>
    <w:rsid w:val="0002664C"/>
    <w:rsid w:val="000445CE"/>
    <w:rsid w:val="0004718D"/>
    <w:rsid w:val="000504B3"/>
    <w:rsid w:val="00060E82"/>
    <w:rsid w:val="00061538"/>
    <w:rsid w:val="00061691"/>
    <w:rsid w:val="00062CE7"/>
    <w:rsid w:val="000646CF"/>
    <w:rsid w:val="000661CB"/>
    <w:rsid w:val="000676B5"/>
    <w:rsid w:val="0008445D"/>
    <w:rsid w:val="00085315"/>
    <w:rsid w:val="00086B28"/>
    <w:rsid w:val="00087F11"/>
    <w:rsid w:val="00091ED3"/>
    <w:rsid w:val="000A224F"/>
    <w:rsid w:val="000B4713"/>
    <w:rsid w:val="000B4C29"/>
    <w:rsid w:val="000B5E26"/>
    <w:rsid w:val="000B6307"/>
    <w:rsid w:val="000C46F4"/>
    <w:rsid w:val="000D00BE"/>
    <w:rsid w:val="000D03C5"/>
    <w:rsid w:val="000D692F"/>
    <w:rsid w:val="000D7E86"/>
    <w:rsid w:val="000E6776"/>
    <w:rsid w:val="000F12D8"/>
    <w:rsid w:val="000F1BF3"/>
    <w:rsid w:val="000F2190"/>
    <w:rsid w:val="000F324E"/>
    <w:rsid w:val="001136A6"/>
    <w:rsid w:val="00114FAB"/>
    <w:rsid w:val="00124E08"/>
    <w:rsid w:val="00130DC6"/>
    <w:rsid w:val="001313CC"/>
    <w:rsid w:val="001318F8"/>
    <w:rsid w:val="0014710A"/>
    <w:rsid w:val="0015372B"/>
    <w:rsid w:val="0015386F"/>
    <w:rsid w:val="00162793"/>
    <w:rsid w:val="0016325D"/>
    <w:rsid w:val="00163AC6"/>
    <w:rsid w:val="00171FE5"/>
    <w:rsid w:val="001822F5"/>
    <w:rsid w:val="001831C9"/>
    <w:rsid w:val="00186CC0"/>
    <w:rsid w:val="00187EC8"/>
    <w:rsid w:val="0019182A"/>
    <w:rsid w:val="001A1841"/>
    <w:rsid w:val="001C2A41"/>
    <w:rsid w:val="001C73EF"/>
    <w:rsid w:val="001D0796"/>
    <w:rsid w:val="001D0AF6"/>
    <w:rsid w:val="001E1CAF"/>
    <w:rsid w:val="001E23DC"/>
    <w:rsid w:val="001E3FDC"/>
    <w:rsid w:val="001E79AA"/>
    <w:rsid w:val="001F6A92"/>
    <w:rsid w:val="001F7377"/>
    <w:rsid w:val="00200C2E"/>
    <w:rsid w:val="00201655"/>
    <w:rsid w:val="00207EB8"/>
    <w:rsid w:val="00210144"/>
    <w:rsid w:val="002246E7"/>
    <w:rsid w:val="0022686F"/>
    <w:rsid w:val="00227365"/>
    <w:rsid w:val="00234457"/>
    <w:rsid w:val="00247CE3"/>
    <w:rsid w:val="00253AB0"/>
    <w:rsid w:val="00256891"/>
    <w:rsid w:val="002663EA"/>
    <w:rsid w:val="00267B16"/>
    <w:rsid w:val="00273EE7"/>
    <w:rsid w:val="00274A39"/>
    <w:rsid w:val="0027538F"/>
    <w:rsid w:val="002927A5"/>
    <w:rsid w:val="002962E7"/>
    <w:rsid w:val="00296D2F"/>
    <w:rsid w:val="002971C7"/>
    <w:rsid w:val="002A1530"/>
    <w:rsid w:val="002A3B8E"/>
    <w:rsid w:val="002B2256"/>
    <w:rsid w:val="002B5216"/>
    <w:rsid w:val="002C09B2"/>
    <w:rsid w:val="002C1389"/>
    <w:rsid w:val="002C2F63"/>
    <w:rsid w:val="002D604B"/>
    <w:rsid w:val="002D718E"/>
    <w:rsid w:val="002E64E5"/>
    <w:rsid w:val="002F2297"/>
    <w:rsid w:val="002F59F9"/>
    <w:rsid w:val="002F64E4"/>
    <w:rsid w:val="00301001"/>
    <w:rsid w:val="00314DA8"/>
    <w:rsid w:val="00315F68"/>
    <w:rsid w:val="003249E9"/>
    <w:rsid w:val="00327183"/>
    <w:rsid w:val="00331054"/>
    <w:rsid w:val="003321CE"/>
    <w:rsid w:val="00333362"/>
    <w:rsid w:val="00333979"/>
    <w:rsid w:val="0034006D"/>
    <w:rsid w:val="00347F77"/>
    <w:rsid w:val="0035362F"/>
    <w:rsid w:val="003541CC"/>
    <w:rsid w:val="003569CD"/>
    <w:rsid w:val="00356E8A"/>
    <w:rsid w:val="00363C94"/>
    <w:rsid w:val="00370573"/>
    <w:rsid w:val="00380EA1"/>
    <w:rsid w:val="00380FFD"/>
    <w:rsid w:val="00383B9B"/>
    <w:rsid w:val="00384B8A"/>
    <w:rsid w:val="003869D7"/>
    <w:rsid w:val="003A2F3E"/>
    <w:rsid w:val="003A3EF1"/>
    <w:rsid w:val="003A75B6"/>
    <w:rsid w:val="003A7F93"/>
    <w:rsid w:val="003C38D5"/>
    <w:rsid w:val="003C3B0B"/>
    <w:rsid w:val="003E128C"/>
    <w:rsid w:val="003E42E6"/>
    <w:rsid w:val="003F06DE"/>
    <w:rsid w:val="003F2B3A"/>
    <w:rsid w:val="003F4E02"/>
    <w:rsid w:val="00404EAE"/>
    <w:rsid w:val="00407647"/>
    <w:rsid w:val="00411F81"/>
    <w:rsid w:val="0041532E"/>
    <w:rsid w:val="00420150"/>
    <w:rsid w:val="0042248D"/>
    <w:rsid w:val="00423042"/>
    <w:rsid w:val="0043402A"/>
    <w:rsid w:val="004342FC"/>
    <w:rsid w:val="0045237D"/>
    <w:rsid w:val="004559FC"/>
    <w:rsid w:val="004658A6"/>
    <w:rsid w:val="00474145"/>
    <w:rsid w:val="00475B23"/>
    <w:rsid w:val="00486ED0"/>
    <w:rsid w:val="00492BE0"/>
    <w:rsid w:val="004A2344"/>
    <w:rsid w:val="004A458E"/>
    <w:rsid w:val="004B73EA"/>
    <w:rsid w:val="004C41E7"/>
    <w:rsid w:val="004C6621"/>
    <w:rsid w:val="004C76D3"/>
    <w:rsid w:val="004D0064"/>
    <w:rsid w:val="004D1AE7"/>
    <w:rsid w:val="004D6EFD"/>
    <w:rsid w:val="004D766E"/>
    <w:rsid w:val="004E3A02"/>
    <w:rsid w:val="004E492C"/>
    <w:rsid w:val="004F1440"/>
    <w:rsid w:val="004F50F2"/>
    <w:rsid w:val="004F5BDD"/>
    <w:rsid w:val="004F73EE"/>
    <w:rsid w:val="0052213D"/>
    <w:rsid w:val="0052755E"/>
    <w:rsid w:val="0053178A"/>
    <w:rsid w:val="00544998"/>
    <w:rsid w:val="00545C46"/>
    <w:rsid w:val="0055125F"/>
    <w:rsid w:val="00552595"/>
    <w:rsid w:val="005551D0"/>
    <w:rsid w:val="00563384"/>
    <w:rsid w:val="00563FB7"/>
    <w:rsid w:val="0056467F"/>
    <w:rsid w:val="00575B4D"/>
    <w:rsid w:val="0057745B"/>
    <w:rsid w:val="0059200D"/>
    <w:rsid w:val="00592E35"/>
    <w:rsid w:val="00595271"/>
    <w:rsid w:val="00596920"/>
    <w:rsid w:val="00597336"/>
    <w:rsid w:val="00597CB1"/>
    <w:rsid w:val="005A4ECD"/>
    <w:rsid w:val="005A6C4B"/>
    <w:rsid w:val="005C2B63"/>
    <w:rsid w:val="005D6987"/>
    <w:rsid w:val="005E6497"/>
    <w:rsid w:val="005F01EE"/>
    <w:rsid w:val="005F4897"/>
    <w:rsid w:val="00600E55"/>
    <w:rsid w:val="00607596"/>
    <w:rsid w:val="006103C1"/>
    <w:rsid w:val="00612BD6"/>
    <w:rsid w:val="00625140"/>
    <w:rsid w:val="00626A98"/>
    <w:rsid w:val="00627C06"/>
    <w:rsid w:val="00633A57"/>
    <w:rsid w:val="0064764D"/>
    <w:rsid w:val="00651F5C"/>
    <w:rsid w:val="00654FA1"/>
    <w:rsid w:val="00655F68"/>
    <w:rsid w:val="00656535"/>
    <w:rsid w:val="00660675"/>
    <w:rsid w:val="006676A7"/>
    <w:rsid w:val="0067283F"/>
    <w:rsid w:val="006805BC"/>
    <w:rsid w:val="006830E7"/>
    <w:rsid w:val="006921A5"/>
    <w:rsid w:val="006C1D1D"/>
    <w:rsid w:val="006C6255"/>
    <w:rsid w:val="006C6CBD"/>
    <w:rsid w:val="006D09AE"/>
    <w:rsid w:val="006E1F10"/>
    <w:rsid w:val="006E5B88"/>
    <w:rsid w:val="006F0751"/>
    <w:rsid w:val="006F7DB4"/>
    <w:rsid w:val="00701A5C"/>
    <w:rsid w:val="00701F11"/>
    <w:rsid w:val="0070556F"/>
    <w:rsid w:val="00710DCC"/>
    <w:rsid w:val="00716C4A"/>
    <w:rsid w:val="00720E18"/>
    <w:rsid w:val="007356C7"/>
    <w:rsid w:val="00741EBD"/>
    <w:rsid w:val="00744CD1"/>
    <w:rsid w:val="00745B80"/>
    <w:rsid w:val="00746125"/>
    <w:rsid w:val="00753CC3"/>
    <w:rsid w:val="00756F13"/>
    <w:rsid w:val="007662FF"/>
    <w:rsid w:val="0078101A"/>
    <w:rsid w:val="00787E9C"/>
    <w:rsid w:val="007A19B8"/>
    <w:rsid w:val="007B2AA8"/>
    <w:rsid w:val="007D46FF"/>
    <w:rsid w:val="007E1A12"/>
    <w:rsid w:val="007E1A5D"/>
    <w:rsid w:val="007F08B1"/>
    <w:rsid w:val="007F239B"/>
    <w:rsid w:val="007F4D38"/>
    <w:rsid w:val="00815B72"/>
    <w:rsid w:val="00817309"/>
    <w:rsid w:val="008209BD"/>
    <w:rsid w:val="008210FA"/>
    <w:rsid w:val="00824824"/>
    <w:rsid w:val="008269AE"/>
    <w:rsid w:val="00834DED"/>
    <w:rsid w:val="0084125F"/>
    <w:rsid w:val="00842EE4"/>
    <w:rsid w:val="00843020"/>
    <w:rsid w:val="0084660C"/>
    <w:rsid w:val="008470B5"/>
    <w:rsid w:val="0085237A"/>
    <w:rsid w:val="008534A3"/>
    <w:rsid w:val="00857DF5"/>
    <w:rsid w:val="00857E77"/>
    <w:rsid w:val="00881A1A"/>
    <w:rsid w:val="00885DAE"/>
    <w:rsid w:val="008A2E10"/>
    <w:rsid w:val="008A3EBC"/>
    <w:rsid w:val="008B5B19"/>
    <w:rsid w:val="008B6D52"/>
    <w:rsid w:val="008C11F4"/>
    <w:rsid w:val="008D15AE"/>
    <w:rsid w:val="008D4950"/>
    <w:rsid w:val="008E7C9F"/>
    <w:rsid w:val="008F7110"/>
    <w:rsid w:val="009064FA"/>
    <w:rsid w:val="00912119"/>
    <w:rsid w:val="00914F4D"/>
    <w:rsid w:val="00916A90"/>
    <w:rsid w:val="00924FD6"/>
    <w:rsid w:val="00925FC8"/>
    <w:rsid w:val="009307EB"/>
    <w:rsid w:val="0093195C"/>
    <w:rsid w:val="00932FB3"/>
    <w:rsid w:val="009333E7"/>
    <w:rsid w:val="00933881"/>
    <w:rsid w:val="009371B4"/>
    <w:rsid w:val="0094069E"/>
    <w:rsid w:val="00941C1E"/>
    <w:rsid w:val="0094370A"/>
    <w:rsid w:val="009453A8"/>
    <w:rsid w:val="00951D33"/>
    <w:rsid w:val="00951D90"/>
    <w:rsid w:val="00957F34"/>
    <w:rsid w:val="0096060F"/>
    <w:rsid w:val="0096548E"/>
    <w:rsid w:val="00970E9B"/>
    <w:rsid w:val="00971502"/>
    <w:rsid w:val="00976412"/>
    <w:rsid w:val="009A45A5"/>
    <w:rsid w:val="009B3B2B"/>
    <w:rsid w:val="009B54F2"/>
    <w:rsid w:val="009B6093"/>
    <w:rsid w:val="009C44E3"/>
    <w:rsid w:val="009C680A"/>
    <w:rsid w:val="009D2BC4"/>
    <w:rsid w:val="009E29A9"/>
    <w:rsid w:val="00A01A1A"/>
    <w:rsid w:val="00A16890"/>
    <w:rsid w:val="00A227DD"/>
    <w:rsid w:val="00A23D7B"/>
    <w:rsid w:val="00A26504"/>
    <w:rsid w:val="00A31151"/>
    <w:rsid w:val="00A33A6F"/>
    <w:rsid w:val="00A425B6"/>
    <w:rsid w:val="00A431CF"/>
    <w:rsid w:val="00A440CA"/>
    <w:rsid w:val="00A44355"/>
    <w:rsid w:val="00A5236E"/>
    <w:rsid w:val="00A56A9D"/>
    <w:rsid w:val="00A57B0F"/>
    <w:rsid w:val="00A62A99"/>
    <w:rsid w:val="00A65306"/>
    <w:rsid w:val="00A67EAF"/>
    <w:rsid w:val="00A731FD"/>
    <w:rsid w:val="00A76F8E"/>
    <w:rsid w:val="00A8027C"/>
    <w:rsid w:val="00A86C5D"/>
    <w:rsid w:val="00A941FD"/>
    <w:rsid w:val="00AA3A8B"/>
    <w:rsid w:val="00AC43FA"/>
    <w:rsid w:val="00AC69B6"/>
    <w:rsid w:val="00AD1BC1"/>
    <w:rsid w:val="00AD76FD"/>
    <w:rsid w:val="00AE1C96"/>
    <w:rsid w:val="00B00069"/>
    <w:rsid w:val="00B00E87"/>
    <w:rsid w:val="00B05115"/>
    <w:rsid w:val="00B053CC"/>
    <w:rsid w:val="00B06AA4"/>
    <w:rsid w:val="00B06B9A"/>
    <w:rsid w:val="00B13767"/>
    <w:rsid w:val="00B168FA"/>
    <w:rsid w:val="00B22F7E"/>
    <w:rsid w:val="00B235C1"/>
    <w:rsid w:val="00B252D4"/>
    <w:rsid w:val="00B3004B"/>
    <w:rsid w:val="00B4634A"/>
    <w:rsid w:val="00B521D1"/>
    <w:rsid w:val="00B63149"/>
    <w:rsid w:val="00B7285C"/>
    <w:rsid w:val="00B772BB"/>
    <w:rsid w:val="00B77448"/>
    <w:rsid w:val="00B8055F"/>
    <w:rsid w:val="00B81D1D"/>
    <w:rsid w:val="00B90C1E"/>
    <w:rsid w:val="00B92C8C"/>
    <w:rsid w:val="00B93900"/>
    <w:rsid w:val="00BA02BF"/>
    <w:rsid w:val="00BA6FC9"/>
    <w:rsid w:val="00BB05A8"/>
    <w:rsid w:val="00BB25D6"/>
    <w:rsid w:val="00BB3E11"/>
    <w:rsid w:val="00BB5B53"/>
    <w:rsid w:val="00BC3DD0"/>
    <w:rsid w:val="00BD568E"/>
    <w:rsid w:val="00BE0D76"/>
    <w:rsid w:val="00BE6A9A"/>
    <w:rsid w:val="00BF016C"/>
    <w:rsid w:val="00BF0DFF"/>
    <w:rsid w:val="00BF3AAC"/>
    <w:rsid w:val="00BF65AD"/>
    <w:rsid w:val="00BF6887"/>
    <w:rsid w:val="00C00675"/>
    <w:rsid w:val="00C04CE7"/>
    <w:rsid w:val="00C1385C"/>
    <w:rsid w:val="00C161D2"/>
    <w:rsid w:val="00C16C91"/>
    <w:rsid w:val="00C17C25"/>
    <w:rsid w:val="00C2728F"/>
    <w:rsid w:val="00C351FB"/>
    <w:rsid w:val="00C376FB"/>
    <w:rsid w:val="00C470D2"/>
    <w:rsid w:val="00C631D2"/>
    <w:rsid w:val="00C737B4"/>
    <w:rsid w:val="00C77061"/>
    <w:rsid w:val="00C86EF6"/>
    <w:rsid w:val="00C9251D"/>
    <w:rsid w:val="00CA4210"/>
    <w:rsid w:val="00CC0586"/>
    <w:rsid w:val="00CC416F"/>
    <w:rsid w:val="00CC51FE"/>
    <w:rsid w:val="00CD13F9"/>
    <w:rsid w:val="00CD77CE"/>
    <w:rsid w:val="00CE62F3"/>
    <w:rsid w:val="00CF2B8E"/>
    <w:rsid w:val="00CF3585"/>
    <w:rsid w:val="00D02661"/>
    <w:rsid w:val="00D200A7"/>
    <w:rsid w:val="00D43FD7"/>
    <w:rsid w:val="00D638A3"/>
    <w:rsid w:val="00D65699"/>
    <w:rsid w:val="00D71255"/>
    <w:rsid w:val="00D812ED"/>
    <w:rsid w:val="00D86518"/>
    <w:rsid w:val="00DB0BFD"/>
    <w:rsid w:val="00DB1558"/>
    <w:rsid w:val="00DC3CCE"/>
    <w:rsid w:val="00DD1882"/>
    <w:rsid w:val="00DE2763"/>
    <w:rsid w:val="00DF21D8"/>
    <w:rsid w:val="00DF5736"/>
    <w:rsid w:val="00DF5D39"/>
    <w:rsid w:val="00DF6A12"/>
    <w:rsid w:val="00E02F5B"/>
    <w:rsid w:val="00E127A5"/>
    <w:rsid w:val="00E13A44"/>
    <w:rsid w:val="00E13EFB"/>
    <w:rsid w:val="00E200F9"/>
    <w:rsid w:val="00E2405F"/>
    <w:rsid w:val="00E2638C"/>
    <w:rsid w:val="00E333FA"/>
    <w:rsid w:val="00E71F59"/>
    <w:rsid w:val="00E770D5"/>
    <w:rsid w:val="00E82C6F"/>
    <w:rsid w:val="00E875E3"/>
    <w:rsid w:val="00EA1EE2"/>
    <w:rsid w:val="00EA1F26"/>
    <w:rsid w:val="00EA4C7E"/>
    <w:rsid w:val="00EA59E4"/>
    <w:rsid w:val="00EA7F6B"/>
    <w:rsid w:val="00EB756C"/>
    <w:rsid w:val="00EC04A9"/>
    <w:rsid w:val="00EC4D09"/>
    <w:rsid w:val="00ED045E"/>
    <w:rsid w:val="00ED445B"/>
    <w:rsid w:val="00F02296"/>
    <w:rsid w:val="00F06746"/>
    <w:rsid w:val="00F141AB"/>
    <w:rsid w:val="00F17D56"/>
    <w:rsid w:val="00F21A21"/>
    <w:rsid w:val="00F341C8"/>
    <w:rsid w:val="00F37B6C"/>
    <w:rsid w:val="00F402D9"/>
    <w:rsid w:val="00F405B6"/>
    <w:rsid w:val="00F4107D"/>
    <w:rsid w:val="00F55123"/>
    <w:rsid w:val="00F5777A"/>
    <w:rsid w:val="00F61737"/>
    <w:rsid w:val="00F65C6D"/>
    <w:rsid w:val="00F70C2E"/>
    <w:rsid w:val="00F7280E"/>
    <w:rsid w:val="00F77455"/>
    <w:rsid w:val="00F81222"/>
    <w:rsid w:val="00FA6341"/>
    <w:rsid w:val="00FC5036"/>
    <w:rsid w:val="00FD093B"/>
    <w:rsid w:val="00FD476A"/>
    <w:rsid w:val="00FE281D"/>
    <w:rsid w:val="00FE45D1"/>
    <w:rsid w:val="00F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A3D1"/>
  <w15:docId w15:val="{784DE713-9DEA-A145-BD98-47315F19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B80"/>
    <w:pPr>
      <w:spacing w:before="120"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DFF"/>
    <w:pPr>
      <w:keepNext/>
      <w:keepLines/>
      <w:spacing w:before="240" w:after="0"/>
      <w:outlineLvl w:val="0"/>
    </w:pPr>
    <w:rPr>
      <w:rFonts w:eastAsiaTheme="majorEastAsia" w:cstheme="majorBidi"/>
      <w:b/>
      <w:color w:val="0F476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DFF"/>
    <w:pPr>
      <w:keepNext/>
      <w:keepLines/>
      <w:spacing w:before="240"/>
      <w:outlineLvl w:val="1"/>
    </w:pPr>
    <w:rPr>
      <w:rFonts w:eastAsiaTheme="majorEastAsia" w:cstheme="majorBidi"/>
      <w:b/>
      <w:color w:val="0F476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0F2"/>
    <w:pPr>
      <w:keepNext/>
      <w:keepLines/>
      <w:outlineLvl w:val="2"/>
    </w:pPr>
    <w:rPr>
      <w:rFonts w:eastAsiaTheme="majorEastAsia" w:cstheme="majorBidi"/>
      <w:b/>
      <w:i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1EE2"/>
    <w:pPr>
      <w:keepNext/>
      <w:keepLines/>
      <w:outlineLvl w:val="3"/>
    </w:pPr>
    <w:rPr>
      <w:rFonts w:eastAsiaTheme="majorEastAsia" w:cstheme="majorBidi"/>
      <w:b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B80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B80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F65AD"/>
    <w:pPr>
      <w:jc w:val="center"/>
    </w:pPr>
    <w:rPr>
      <w:b/>
      <w:iCs/>
      <w:color w:val="0E2841" w:themeColor="text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F0DFF"/>
    <w:rPr>
      <w:rFonts w:eastAsiaTheme="majorEastAsia" w:cstheme="majorBidi"/>
      <w:b/>
      <w:color w:val="0F4761" w:themeColor="accent1" w:themeShade="BF"/>
      <w:sz w:val="28"/>
      <w:szCs w:val="32"/>
    </w:rPr>
  </w:style>
  <w:style w:type="paragraph" w:styleId="Title">
    <w:name w:val="Title"/>
    <w:basedOn w:val="Normal"/>
    <w:next w:val="Normal"/>
    <w:link w:val="TitleChar"/>
    <w:qFormat/>
    <w:rsid w:val="008A3EBC"/>
    <w:pPr>
      <w:spacing w:before="0" w:after="0"/>
      <w:contextualSpacing/>
      <w:jc w:val="center"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8A3EBC"/>
    <w:rPr>
      <w:rFonts w:eastAsiaTheme="majorEastAsia" w:cstheme="majorBidi"/>
      <w:spacing w:val="-10"/>
      <w:kern w:val="28"/>
      <w:sz w:val="32"/>
      <w:szCs w:val="56"/>
    </w:rPr>
  </w:style>
  <w:style w:type="paragraph" w:styleId="ListParagraph">
    <w:name w:val="List Paragraph"/>
    <w:aliases w:val="List Paragraph1,Recommendation,L,List Paragraph11,Bulleted Para,NFP GP Bulleted List,List Paragraph2,FooterText,numbered,Paragraphe de liste1,Bulletr List Paragraph,列出段落,列出段落1,List Paragraph21,Listeafsnit1,Parágrafo da Lista1,リスト段落1,CV t"/>
    <w:basedOn w:val="Normal"/>
    <w:link w:val="ListParagraphChar"/>
    <w:uiPriority w:val="34"/>
    <w:qFormat/>
    <w:rsid w:val="004B73EA"/>
    <w:pPr>
      <w:spacing w:before="60" w:after="60"/>
    </w:pPr>
  </w:style>
  <w:style w:type="character" w:customStyle="1" w:styleId="ListParagraphChar">
    <w:name w:val="List Paragraph Char"/>
    <w:aliases w:val="List Paragraph1 Char,Recommendation Char,L Char,List Paragraph11 Char,Bulleted Para Char,NFP GP Bulleted List Char,List Paragraph2 Char,FooterText Char,numbered Char,Paragraphe de liste1 Char,Bulletr List Paragraph Char,列出段落 Char"/>
    <w:link w:val="ListParagraph"/>
    <w:uiPriority w:val="34"/>
    <w:qFormat/>
    <w:locked/>
    <w:rsid w:val="004B73EA"/>
    <w:rPr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14710A"/>
    <w:pPr>
      <w:spacing w:before="0" w:after="0"/>
      <w:ind w:left="442" w:hanging="442"/>
    </w:pPr>
    <w:rPr>
      <w:rFonts w:cstheme="minorHAnsi"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A1EE2"/>
    <w:rPr>
      <w:rFonts w:eastAsiaTheme="majorEastAsia" w:cstheme="majorBidi"/>
      <w:b/>
      <w:i/>
      <w:iCs/>
      <w:color w:val="0F4761" w:themeColor="accent1" w:themeShade="BF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F50F2"/>
    <w:rPr>
      <w:rFonts w:eastAsiaTheme="majorEastAsia" w:cstheme="majorBidi"/>
      <w:b/>
      <w:i/>
      <w:color w:val="0A2F40" w:themeColor="accent1" w:themeShade="7F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F0DFF"/>
    <w:rPr>
      <w:rFonts w:eastAsiaTheme="majorEastAsia" w:cstheme="majorBidi"/>
      <w:b/>
      <w:color w:val="0F4761" w:themeColor="accent1" w:themeShade="BF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1F6A92"/>
    <w:pPr>
      <w:tabs>
        <w:tab w:val="right" w:leader="dot" w:pos="9011"/>
      </w:tabs>
      <w:spacing w:before="0" w:after="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D718E"/>
    <w:pPr>
      <w:spacing w:before="0" w:after="0"/>
      <w:ind w:left="440"/>
    </w:pPr>
    <w:rPr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15F68"/>
    <w:pPr>
      <w:spacing w:before="0" w:after="0"/>
      <w:ind w:left="221"/>
    </w:pPr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F1440"/>
    <w:pPr>
      <w:spacing w:line="228" w:lineRule="auto"/>
      <w:ind w:left="431" w:right="431"/>
    </w:pPr>
    <w:rPr>
      <w:rFonts w:eastAsia="Times New Roman" w:cs="Times New Roman"/>
      <w:iCs/>
      <w:color w:val="404040" w:themeColor="text1" w:themeTint="BF"/>
      <w:kern w:val="0"/>
      <w:sz w:val="20"/>
      <w:lang w:eastAsia="en-GB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4F1440"/>
    <w:rPr>
      <w:rFonts w:eastAsia="Times New Roman" w:cs="Times New Roman"/>
      <w:iCs/>
      <w:color w:val="404040" w:themeColor="text1" w:themeTint="BF"/>
      <w:kern w:val="0"/>
      <w:sz w:val="2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B80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B80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B80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B80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B80"/>
    <w:rPr>
      <w:rFonts w:eastAsiaTheme="majorEastAsia" w:cstheme="majorBidi"/>
      <w:color w:val="272727" w:themeColor="text1" w:themeTint="D8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B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745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B80"/>
    <w:rPr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745B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5B8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5B80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B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5B80"/>
    <w:rPr>
      <w:vertAlign w:val="superscript"/>
    </w:rPr>
  </w:style>
  <w:style w:type="table" w:styleId="TableGrid">
    <w:name w:val="Table Grid"/>
    <w:basedOn w:val="TableNormal"/>
    <w:uiPriority w:val="39"/>
    <w:rsid w:val="0042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470D2"/>
    <w:rPr>
      <w:color w:val="96607D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3E42E6"/>
    <w:pPr>
      <w:spacing w:before="0"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E42E6"/>
    <w:pPr>
      <w:spacing w:before="0"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E42E6"/>
    <w:pPr>
      <w:spacing w:before="0"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E42E6"/>
    <w:pPr>
      <w:spacing w:before="0"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E42E6"/>
    <w:pPr>
      <w:spacing w:before="0"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E42E6"/>
    <w:pPr>
      <w:spacing w:before="0" w:after="0"/>
      <w:ind w:left="1760"/>
    </w:pPr>
    <w:rPr>
      <w:sz w:val="20"/>
      <w:szCs w:val="20"/>
    </w:rPr>
  </w:style>
  <w:style w:type="table" w:styleId="GridTable1Light-Accent1">
    <w:name w:val="Grid Table 1 Light Accent 1"/>
    <w:basedOn w:val="TableNormal"/>
    <w:uiPriority w:val="46"/>
    <w:rsid w:val="009C680A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01F1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14FA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14FAB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114FAB"/>
  </w:style>
  <w:style w:type="table" w:styleId="GridTable6ColourfulAccent5">
    <w:name w:val="Grid Table 6 Colorful Accent 5"/>
    <w:basedOn w:val="TableNormal"/>
    <w:uiPriority w:val="51"/>
    <w:rsid w:val="001F6A92"/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PlainTable2">
    <w:name w:val="Plain Table 2"/>
    <w:basedOn w:val="TableNormal"/>
    <w:uiPriority w:val="42"/>
    <w:rsid w:val="00314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14DA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2718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2718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finbox.com/LSE:GLEN/explorer/rd_exp_margin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inbox.com/DB:BAYN/explorer/rd_exp_margin" TargetMode="External"/><Relationship Id="rId2" Type="http://schemas.openxmlformats.org/officeDocument/2006/relationships/hyperlink" Target="https://www.bayer.com/en/sustainability/transparency-in-science-collaborations" TargetMode="External"/><Relationship Id="rId1" Type="http://schemas.openxmlformats.org/officeDocument/2006/relationships/hyperlink" Target="https://www.industry.gov.au/sites/default/files/2020-02/australian-business-investment-in-innovation-levels-trends-and-drivers.pdf" TargetMode="External"/><Relationship Id="rId4" Type="http://schemas.openxmlformats.org/officeDocument/2006/relationships/hyperlink" Target="https://hbr.org/2017/03/is-rd-getting-harder-or-are-companies-just-getting-worse-at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2EDCFA-8650-444C-AB89-6E77A4C2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 Howard</dc:creator>
  <cp:keywords/>
  <dc:description/>
  <cp:lastModifiedBy>John H Howard</cp:lastModifiedBy>
  <cp:revision>15</cp:revision>
  <cp:lastPrinted>2024-04-09T04:40:00Z</cp:lastPrinted>
  <dcterms:created xsi:type="dcterms:W3CDTF">2024-04-05T07:07:00Z</dcterms:created>
  <dcterms:modified xsi:type="dcterms:W3CDTF">2024-04-10T22:59:00Z</dcterms:modified>
</cp:coreProperties>
</file>