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B9E3" w14:textId="13B5EB5B" w:rsidR="006E4F47" w:rsidRPr="008B78A0" w:rsidRDefault="008B78A0" w:rsidP="00AE0790">
      <w:pPr>
        <w:pStyle w:val="Title"/>
        <w:ind w:left="720" w:right="720"/>
        <w:rPr>
          <w:rFonts w:asciiTheme="majorHAnsi" w:eastAsia="Times New Roman" w:hAnsiTheme="majorHAnsi"/>
          <w:szCs w:val="32"/>
          <w:lang w:eastAsia="en-GB"/>
        </w:rPr>
      </w:pPr>
      <w:r w:rsidRPr="008B78A0">
        <w:rPr>
          <w:rFonts w:asciiTheme="majorHAnsi" w:hAnsiTheme="majorHAnsi"/>
          <w:szCs w:val="32"/>
        </w:rPr>
        <w:t>Towards 3%</w:t>
      </w:r>
      <w:r w:rsidR="00AE0790">
        <w:rPr>
          <w:rFonts w:asciiTheme="majorHAnsi" w:hAnsiTheme="majorHAnsi"/>
          <w:szCs w:val="32"/>
        </w:rPr>
        <w:t xml:space="preserve">:  </w:t>
      </w:r>
      <w:r w:rsidRPr="008B78A0">
        <w:rPr>
          <w:rFonts w:asciiTheme="majorHAnsi" w:hAnsiTheme="majorHAnsi"/>
          <w:szCs w:val="32"/>
        </w:rPr>
        <w:t>Turbocharging Australia's Innovation Effort</w:t>
      </w:r>
      <w:r w:rsidR="00AE0790">
        <w:rPr>
          <w:rFonts w:asciiTheme="majorHAnsi" w:hAnsiTheme="majorHAnsi"/>
          <w:szCs w:val="32"/>
        </w:rPr>
        <w:t>—</w:t>
      </w:r>
      <w:r w:rsidR="006E4F47" w:rsidRPr="008B78A0">
        <w:rPr>
          <w:rFonts w:asciiTheme="majorHAnsi" w:eastAsia="Times New Roman" w:hAnsiTheme="majorHAnsi"/>
          <w:szCs w:val="32"/>
          <w:lang w:eastAsia="en-GB"/>
        </w:rPr>
        <w:t>How to Reve</w:t>
      </w:r>
      <w:r w:rsidR="003723CD" w:rsidRPr="008B78A0">
        <w:rPr>
          <w:rFonts w:asciiTheme="majorHAnsi" w:eastAsia="Times New Roman" w:hAnsiTheme="majorHAnsi"/>
          <w:szCs w:val="32"/>
          <w:lang w:eastAsia="en-GB"/>
        </w:rPr>
        <w:t>r</w:t>
      </w:r>
      <w:r w:rsidR="006E4F47" w:rsidRPr="008B78A0">
        <w:rPr>
          <w:rFonts w:asciiTheme="majorHAnsi" w:eastAsia="Times New Roman" w:hAnsiTheme="majorHAnsi"/>
          <w:szCs w:val="32"/>
          <w:lang w:eastAsia="en-GB"/>
        </w:rPr>
        <w:t>se Our Slide</w:t>
      </w:r>
    </w:p>
    <w:p w14:paraId="2A70A20A" w14:textId="77777777" w:rsidR="00081064" w:rsidRDefault="00081064" w:rsidP="00081064">
      <w:pPr>
        <w:spacing w:before="60" w:after="60"/>
        <w:jc w:val="center"/>
        <w:rPr>
          <w:lang w:eastAsia="en-GB"/>
        </w:rPr>
      </w:pPr>
      <w:r>
        <w:rPr>
          <w:lang w:eastAsia="en-GB"/>
        </w:rPr>
        <w:t>Dr John H Howard</w:t>
      </w:r>
    </w:p>
    <w:p w14:paraId="1F86D68E" w14:textId="77777777" w:rsidR="00681547" w:rsidRDefault="00681547" w:rsidP="00681547">
      <w:pPr>
        <w:spacing w:before="60" w:after="60"/>
        <w:jc w:val="center"/>
        <w:rPr>
          <w:lang w:eastAsia="en-GB"/>
        </w:rPr>
      </w:pPr>
      <w:r>
        <w:rPr>
          <w:lang w:eastAsia="en-GB"/>
        </w:rPr>
        <w:t>Acton Institute for Policy Research and Innovation</w:t>
      </w:r>
    </w:p>
    <w:p w14:paraId="12E1CF3E" w14:textId="77777777" w:rsidR="00681547" w:rsidRDefault="00681547" w:rsidP="00681547">
      <w:pPr>
        <w:spacing w:before="60" w:after="60"/>
        <w:jc w:val="center"/>
        <w:rPr>
          <w:lang w:eastAsia="en-GB"/>
        </w:rPr>
      </w:pPr>
      <w:r>
        <w:rPr>
          <w:lang w:eastAsia="en-GB"/>
        </w:rPr>
        <w:t>Visiting Professor, UTS</w:t>
      </w:r>
    </w:p>
    <w:p w14:paraId="7606137C" w14:textId="46746652" w:rsidR="00081064" w:rsidRPr="00DD3A49" w:rsidRDefault="00081064" w:rsidP="00081064">
      <w:pPr>
        <w:rPr>
          <w:lang w:eastAsia="en-GB"/>
        </w:rPr>
      </w:pPr>
    </w:p>
    <w:p w14:paraId="0AAC3598" w14:textId="2AC86000" w:rsidR="000541F9" w:rsidRDefault="00327F85" w:rsidP="000541F9">
      <w:r>
        <w:rPr>
          <w:lang w:eastAsia="en-GB"/>
        </w:rPr>
        <w:t>Australian business investment</w:t>
      </w:r>
      <w:r w:rsidR="007900D0">
        <w:rPr>
          <w:lang w:eastAsia="en-GB"/>
        </w:rPr>
        <w:t xml:space="preserve"> in R&amp;D</w:t>
      </w:r>
      <w:r>
        <w:rPr>
          <w:lang w:eastAsia="en-GB"/>
        </w:rPr>
        <w:t xml:space="preserve"> collapsed during the Global Financial crisis and has not recovered. </w:t>
      </w:r>
      <w:r w:rsidR="007900D0">
        <w:rPr>
          <w:lang w:eastAsia="en-GB"/>
        </w:rPr>
        <w:t xml:space="preserve">This calls for a strong </w:t>
      </w:r>
      <w:r w:rsidR="000541F9">
        <w:rPr>
          <w:lang w:eastAsia="en-GB"/>
        </w:rPr>
        <w:t>government policy response</w:t>
      </w:r>
      <w:r w:rsidR="007900D0">
        <w:rPr>
          <w:lang w:eastAsia="en-GB"/>
        </w:rPr>
        <w:t xml:space="preserve"> and a full-bodied commitment from the business sector. </w:t>
      </w:r>
      <w:r w:rsidR="000541F9">
        <w:rPr>
          <w:lang w:eastAsia="en-GB"/>
        </w:rPr>
        <w:t xml:space="preserve">This paper advocates a </w:t>
      </w:r>
      <w:r w:rsidR="000541F9" w:rsidRPr="009661F8">
        <w:rPr>
          <w:i/>
          <w:iCs/>
        </w:rPr>
        <w:t>National Business Research and Development Strategy and Action Plan</w:t>
      </w:r>
      <w:r w:rsidR="000541F9">
        <w:t xml:space="preserve"> as an essential component of the response. </w:t>
      </w:r>
    </w:p>
    <w:p w14:paraId="7DCCAF1B" w14:textId="50DE0928" w:rsidR="007900D0" w:rsidRDefault="007900D0" w:rsidP="007900D0">
      <w:pPr>
        <w:pStyle w:val="Heading1"/>
        <w:rPr>
          <w:lang w:eastAsia="en-GB"/>
        </w:rPr>
      </w:pPr>
      <w:bookmarkStart w:id="0" w:name="_Toc163390110"/>
      <w:bookmarkStart w:id="1" w:name="_Toc163534493"/>
      <w:r>
        <w:rPr>
          <w:lang w:eastAsia="en-GB"/>
        </w:rPr>
        <w:t>Five policy initiatives</w:t>
      </w:r>
      <w:bookmarkEnd w:id="0"/>
      <w:bookmarkEnd w:id="1"/>
    </w:p>
    <w:p w14:paraId="636013E6" w14:textId="25997306" w:rsidR="006E4F47" w:rsidRDefault="00327F85" w:rsidP="006E4F47">
      <w:pPr>
        <w:rPr>
          <w:lang w:eastAsia="en-GB"/>
        </w:rPr>
      </w:pPr>
      <w:r>
        <w:rPr>
          <w:lang w:eastAsia="en-GB"/>
        </w:rPr>
        <w:t>T</w:t>
      </w:r>
      <w:r w:rsidR="006E4F47">
        <w:rPr>
          <w:lang w:eastAsia="en-GB"/>
        </w:rPr>
        <w:t>h</w:t>
      </w:r>
      <w:r w:rsidR="00933BDA">
        <w:rPr>
          <w:lang w:eastAsia="en-GB"/>
        </w:rPr>
        <w:t xml:space="preserve">is </w:t>
      </w:r>
      <w:r w:rsidR="00097DB9">
        <w:rPr>
          <w:lang w:eastAsia="en-GB"/>
        </w:rPr>
        <w:t xml:space="preserve">paper </w:t>
      </w:r>
      <w:r w:rsidR="00081064">
        <w:rPr>
          <w:lang w:eastAsia="en-GB"/>
        </w:rPr>
        <w:t xml:space="preserve">canvasses </w:t>
      </w:r>
      <w:r w:rsidR="00435E14">
        <w:rPr>
          <w:lang w:eastAsia="en-GB"/>
        </w:rPr>
        <w:t>five</w:t>
      </w:r>
      <w:r w:rsidR="00097DB9">
        <w:rPr>
          <w:lang w:eastAsia="en-GB"/>
        </w:rPr>
        <w:t xml:space="preserve"> </w:t>
      </w:r>
      <w:r w:rsidR="007900D0">
        <w:rPr>
          <w:lang w:eastAsia="en-GB"/>
        </w:rPr>
        <w:t xml:space="preserve">core </w:t>
      </w:r>
      <w:r w:rsidR="00097DB9">
        <w:rPr>
          <w:lang w:eastAsia="en-GB"/>
        </w:rPr>
        <w:t>policy initiatives that would strengthen Australia</w:t>
      </w:r>
      <w:r w:rsidR="00435E14">
        <w:rPr>
          <w:lang w:eastAsia="en-GB"/>
        </w:rPr>
        <w:t xml:space="preserve">n business </w:t>
      </w:r>
      <w:r w:rsidR="00097DB9">
        <w:rPr>
          <w:lang w:eastAsia="en-GB"/>
        </w:rPr>
        <w:t>R&amp;D commitment and secure a path to knowledge-</w:t>
      </w:r>
      <w:r w:rsidR="006E4F47">
        <w:rPr>
          <w:lang w:eastAsia="en-GB"/>
        </w:rPr>
        <w:t>driven</w:t>
      </w:r>
      <w:r w:rsidR="00097DB9">
        <w:rPr>
          <w:lang w:eastAsia="en-GB"/>
        </w:rPr>
        <w:t xml:space="preserve"> growth</w:t>
      </w:r>
      <w:r w:rsidR="00435E14">
        <w:rPr>
          <w:lang w:eastAsia="en-GB"/>
        </w:rPr>
        <w:t>.</w:t>
      </w:r>
      <w:r>
        <w:rPr>
          <w:lang w:eastAsia="en-GB"/>
        </w:rPr>
        <w:t xml:space="preserve"> </w:t>
      </w:r>
      <w:r>
        <w:rPr>
          <w:i/>
          <w:iCs/>
          <w:lang w:eastAsia="en-GB"/>
        </w:rPr>
        <w:t xml:space="preserve"> </w:t>
      </w:r>
      <w:r w:rsidR="008C2F97">
        <w:rPr>
          <w:lang w:eastAsia="en-GB"/>
        </w:rPr>
        <w:t xml:space="preserve">This pathway will involve supporting and stimulating R&amp;D in businesses that constitute </w:t>
      </w:r>
      <w:r w:rsidR="008C2F97" w:rsidRPr="008C2F97">
        <w:rPr>
          <w:i/>
          <w:iCs/>
          <w:lang w:eastAsia="en-GB"/>
        </w:rPr>
        <w:t>the Industries of the Future</w:t>
      </w:r>
      <w:r w:rsidR="008C2F97">
        <w:rPr>
          <w:lang w:eastAsia="en-GB"/>
        </w:rPr>
        <w:t xml:space="preserve"> and steer the economy away from reliance on the export of commodity materials. </w:t>
      </w:r>
    </w:p>
    <w:tbl>
      <w:tblPr>
        <w:tblStyle w:val="TableGrid"/>
        <w:tblW w:w="0" w:type="auto"/>
        <w:shd w:val="clear" w:color="auto" w:fill="C1E4F5" w:themeFill="accent1" w:themeFillTint="33"/>
        <w:tblLook w:val="04A0" w:firstRow="1" w:lastRow="0" w:firstColumn="1" w:lastColumn="0" w:noHBand="0" w:noVBand="1"/>
      </w:tblPr>
      <w:tblGrid>
        <w:gridCol w:w="9011"/>
      </w:tblGrid>
      <w:tr w:rsidR="0039120B" w14:paraId="39A58E07" w14:textId="77777777" w:rsidTr="0039120B">
        <w:tc>
          <w:tcPr>
            <w:tcW w:w="9011" w:type="dxa"/>
            <w:shd w:val="clear" w:color="auto" w:fill="C1E4F5" w:themeFill="accent1" w:themeFillTint="33"/>
          </w:tcPr>
          <w:p w14:paraId="56F45037" w14:textId="461D4519" w:rsidR="0039120B" w:rsidRPr="0039120B" w:rsidRDefault="0039120B" w:rsidP="0039120B">
            <w:pPr>
              <w:jc w:val="center"/>
              <w:rPr>
                <w:b/>
                <w:bCs/>
                <w:lang w:eastAsia="en-GB"/>
              </w:rPr>
            </w:pPr>
            <w:r w:rsidRPr="0039120B">
              <w:rPr>
                <w:b/>
                <w:bCs/>
                <w:lang w:eastAsia="en-GB"/>
              </w:rPr>
              <w:t>Five initiatives to reverse the slide in Australian Business R&amp;D</w:t>
            </w:r>
          </w:p>
          <w:p w14:paraId="75B6329B" w14:textId="77777777" w:rsidR="0039120B" w:rsidRDefault="0039120B" w:rsidP="0039120B">
            <w:pPr>
              <w:pStyle w:val="ListParagraph"/>
              <w:numPr>
                <w:ilvl w:val="0"/>
                <w:numId w:val="28"/>
              </w:numPr>
              <w:rPr>
                <w:rFonts w:ascii="Calibri" w:eastAsia="Times New Roman" w:hAnsi="Calibri" w:cs="Calibri"/>
                <w:color w:val="212121"/>
                <w:kern w:val="0"/>
                <w:szCs w:val="22"/>
                <w:lang w:eastAsia="en-GB"/>
                <w14:ligatures w14:val="none"/>
              </w:rPr>
            </w:pPr>
            <w:r w:rsidRPr="00C55A2F">
              <w:rPr>
                <w:rFonts w:ascii="Calibri" w:eastAsia="Times New Roman" w:hAnsi="Calibri" w:cs="Calibri"/>
                <w:color w:val="212121"/>
                <w:kern w:val="0"/>
                <w:szCs w:val="22"/>
                <w:lang w:eastAsia="en-GB"/>
                <w14:ligatures w14:val="none"/>
              </w:rPr>
              <w:t>An integrated strategy of targeted public support for business R&amp;D</w:t>
            </w:r>
          </w:p>
          <w:p w14:paraId="69C06256" w14:textId="77777777" w:rsidR="0039120B" w:rsidRDefault="0039120B" w:rsidP="0039120B">
            <w:pPr>
              <w:pStyle w:val="ListParagraph"/>
              <w:numPr>
                <w:ilvl w:val="0"/>
                <w:numId w:val="28"/>
              </w:numPr>
              <w:rPr>
                <w:rFonts w:ascii="Calibri" w:eastAsia="Times New Roman" w:hAnsi="Calibri" w:cs="Calibri"/>
                <w:color w:val="212121"/>
                <w:kern w:val="0"/>
                <w:szCs w:val="22"/>
                <w:lang w:eastAsia="en-GB"/>
                <w14:ligatures w14:val="none"/>
              </w:rPr>
            </w:pPr>
            <w:r w:rsidRPr="00660AEB">
              <w:rPr>
                <w:rFonts w:ascii="Calibri" w:eastAsia="Times New Roman" w:hAnsi="Calibri" w:cs="Calibri"/>
                <w:color w:val="212121"/>
                <w:kern w:val="0"/>
                <w:szCs w:val="22"/>
                <w:lang w:eastAsia="en-GB"/>
                <w14:ligatures w14:val="none"/>
              </w:rPr>
              <w:t xml:space="preserve">A massive lift in </w:t>
            </w:r>
            <w:r>
              <w:rPr>
                <w:rFonts w:ascii="Calibri" w:eastAsia="Times New Roman" w:hAnsi="Calibri" w:cs="Calibri"/>
                <w:color w:val="212121"/>
                <w:kern w:val="0"/>
                <w:szCs w:val="22"/>
                <w:lang w:eastAsia="en-GB"/>
                <w14:ligatures w14:val="none"/>
              </w:rPr>
              <w:t>public research investment through public research organisations</w:t>
            </w:r>
          </w:p>
          <w:p w14:paraId="14896B2A" w14:textId="77777777" w:rsidR="0039120B" w:rsidRDefault="0039120B" w:rsidP="0039120B">
            <w:pPr>
              <w:pStyle w:val="ListParagraph"/>
              <w:numPr>
                <w:ilvl w:val="0"/>
                <w:numId w:val="28"/>
              </w:numPr>
              <w:rPr>
                <w:rFonts w:ascii="Calibri" w:eastAsia="Times New Roman" w:hAnsi="Calibri" w:cs="Calibri"/>
                <w:color w:val="212121"/>
                <w:kern w:val="0"/>
                <w:szCs w:val="22"/>
                <w:lang w:eastAsia="en-GB"/>
                <w14:ligatures w14:val="none"/>
              </w:rPr>
            </w:pPr>
            <w:r>
              <w:rPr>
                <w:rFonts w:ascii="Calibri" w:eastAsia="Times New Roman" w:hAnsi="Calibri" w:cs="Calibri"/>
                <w:color w:val="212121"/>
                <w:kern w:val="0"/>
                <w:szCs w:val="22"/>
                <w:lang w:eastAsia="en-GB"/>
                <w14:ligatures w14:val="none"/>
              </w:rPr>
              <w:t>A</w:t>
            </w:r>
            <w:r w:rsidRPr="00660AEB">
              <w:rPr>
                <w:rFonts w:ascii="Calibri" w:eastAsia="Times New Roman" w:hAnsi="Calibri" w:cs="Calibri"/>
                <w:color w:val="212121"/>
                <w:kern w:val="0"/>
                <w:szCs w:val="22"/>
                <w:lang w:eastAsia="en-GB"/>
                <w14:ligatures w14:val="none"/>
              </w:rPr>
              <w:t>n active</w:t>
            </w:r>
            <w:r>
              <w:rPr>
                <w:rFonts w:ascii="Calibri" w:eastAsia="Times New Roman" w:hAnsi="Calibri" w:cs="Calibri"/>
                <w:color w:val="212121"/>
                <w:kern w:val="0"/>
                <w:szCs w:val="22"/>
                <w:lang w:eastAsia="en-GB"/>
                <w14:ligatures w14:val="none"/>
              </w:rPr>
              <w:t xml:space="preserve"> and coordinated</w:t>
            </w:r>
            <w:r w:rsidRPr="00660AEB">
              <w:rPr>
                <w:rFonts w:ascii="Calibri" w:eastAsia="Times New Roman" w:hAnsi="Calibri" w:cs="Calibri"/>
                <w:color w:val="212121"/>
                <w:kern w:val="0"/>
                <w:szCs w:val="22"/>
                <w:lang w:eastAsia="en-GB"/>
                <w14:ligatures w14:val="none"/>
              </w:rPr>
              <w:t xml:space="preserve"> </w:t>
            </w:r>
            <w:r>
              <w:rPr>
                <w:rFonts w:ascii="Calibri" w:eastAsia="Times New Roman" w:hAnsi="Calibri" w:cs="Calibri"/>
                <w:color w:val="212121"/>
                <w:kern w:val="0"/>
                <w:szCs w:val="22"/>
                <w:lang w:eastAsia="en-GB"/>
                <w14:ligatures w14:val="none"/>
              </w:rPr>
              <w:t>foreign direct investment (</w:t>
            </w:r>
            <w:r w:rsidRPr="00660AEB">
              <w:rPr>
                <w:rFonts w:ascii="Calibri" w:eastAsia="Times New Roman" w:hAnsi="Calibri" w:cs="Calibri"/>
                <w:color w:val="212121"/>
                <w:kern w:val="0"/>
                <w:szCs w:val="22"/>
                <w:lang w:eastAsia="en-GB"/>
                <w14:ligatures w14:val="none"/>
              </w:rPr>
              <w:t>FDI</w:t>
            </w:r>
            <w:r>
              <w:rPr>
                <w:rFonts w:ascii="Calibri" w:eastAsia="Times New Roman" w:hAnsi="Calibri" w:cs="Calibri"/>
                <w:color w:val="212121"/>
                <w:kern w:val="0"/>
                <w:szCs w:val="22"/>
                <w:lang w:eastAsia="en-GB"/>
                <w14:ligatures w14:val="none"/>
              </w:rPr>
              <w:t>)</w:t>
            </w:r>
            <w:r w:rsidRPr="00660AEB">
              <w:rPr>
                <w:rFonts w:ascii="Calibri" w:eastAsia="Times New Roman" w:hAnsi="Calibri" w:cs="Calibri"/>
                <w:color w:val="212121"/>
                <w:kern w:val="0"/>
                <w:szCs w:val="22"/>
                <w:lang w:eastAsia="en-GB"/>
                <w14:ligatures w14:val="none"/>
              </w:rPr>
              <w:t xml:space="preserve"> program targeted at large global R&amp;D investors. </w:t>
            </w:r>
          </w:p>
          <w:p w14:paraId="76E0EFA3" w14:textId="77777777" w:rsidR="0039120B" w:rsidRPr="00EE73EA" w:rsidRDefault="0039120B" w:rsidP="0039120B">
            <w:pPr>
              <w:pStyle w:val="ListParagraph"/>
              <w:numPr>
                <w:ilvl w:val="0"/>
                <w:numId w:val="28"/>
              </w:numPr>
              <w:rPr>
                <w:lang w:eastAsia="en-GB"/>
              </w:rPr>
            </w:pPr>
            <w:r>
              <w:rPr>
                <w:rFonts w:ascii="Calibri" w:eastAsia="Times New Roman" w:hAnsi="Calibri" w:cs="Calibri"/>
                <w:color w:val="212121"/>
                <w:kern w:val="0"/>
                <w:szCs w:val="22"/>
                <w:lang w:eastAsia="en-GB"/>
                <w14:ligatures w14:val="none"/>
              </w:rPr>
              <w:t xml:space="preserve">Sustaining the investment </w:t>
            </w:r>
            <w:r w:rsidRPr="00972FBB">
              <w:rPr>
                <w:rFonts w:ascii="Calibri" w:eastAsia="Times New Roman" w:hAnsi="Calibri" w:cs="Calibri"/>
                <w:color w:val="212121"/>
                <w:kern w:val="0"/>
                <w:szCs w:val="22"/>
                <w:lang w:eastAsia="en-GB"/>
                <w14:ligatures w14:val="none"/>
              </w:rPr>
              <w:t>commitment to education and skills development to support</w:t>
            </w:r>
            <w:r>
              <w:rPr>
                <w:rFonts w:ascii="Calibri" w:eastAsia="Times New Roman" w:hAnsi="Calibri" w:cs="Calibri"/>
                <w:color w:val="212121"/>
                <w:kern w:val="0"/>
                <w:szCs w:val="22"/>
                <w:lang w:eastAsia="en-GB"/>
                <w14:ligatures w14:val="none"/>
              </w:rPr>
              <w:t xml:space="preserve"> these industries. </w:t>
            </w:r>
          </w:p>
          <w:p w14:paraId="2E564810" w14:textId="77777777" w:rsidR="0039120B" w:rsidRDefault="0039120B" w:rsidP="0039120B">
            <w:pPr>
              <w:pStyle w:val="ListParagraph"/>
              <w:numPr>
                <w:ilvl w:val="0"/>
                <w:numId w:val="28"/>
              </w:numPr>
              <w:rPr>
                <w:rFonts w:ascii="Calibri" w:eastAsia="Times New Roman" w:hAnsi="Calibri" w:cs="Calibri"/>
                <w:color w:val="212121"/>
                <w:kern w:val="0"/>
                <w:szCs w:val="22"/>
                <w:lang w:eastAsia="en-GB"/>
                <w14:ligatures w14:val="none"/>
              </w:rPr>
            </w:pPr>
            <w:r>
              <w:rPr>
                <w:rFonts w:ascii="Calibri" w:eastAsia="Times New Roman" w:hAnsi="Calibri" w:cs="Calibri"/>
                <w:color w:val="212121"/>
                <w:kern w:val="0"/>
                <w:szCs w:val="22"/>
                <w:lang w:eastAsia="en-GB"/>
                <w14:ligatures w14:val="none"/>
              </w:rPr>
              <w:t xml:space="preserve">Ensure that businesses in the industries of the future are effective partners in the development of innovation districts, precincts, and hubs. </w:t>
            </w:r>
          </w:p>
          <w:p w14:paraId="7EAC78DC" w14:textId="15F5B638" w:rsidR="0039120B" w:rsidRDefault="0039120B" w:rsidP="006E4F47">
            <w:pPr>
              <w:rPr>
                <w:lang w:eastAsia="en-GB"/>
              </w:rPr>
            </w:pPr>
            <w:r>
              <w:rPr>
                <w:lang w:eastAsia="en-GB"/>
              </w:rPr>
              <w:t xml:space="preserve">These initiatives would be embedded in a </w:t>
            </w:r>
            <w:r w:rsidRPr="00435E14">
              <w:rPr>
                <w:i/>
                <w:iCs/>
                <w:lang w:eastAsia="en-GB"/>
              </w:rPr>
              <w:t>National Business R&amp;D Action Plan</w:t>
            </w:r>
            <w:r>
              <w:rPr>
                <w:lang w:eastAsia="en-GB"/>
              </w:rPr>
              <w:t>.</w:t>
            </w:r>
          </w:p>
        </w:tc>
      </w:tr>
    </w:tbl>
    <w:p w14:paraId="051EDFF1" w14:textId="5FB2319F" w:rsidR="006E4F47" w:rsidRDefault="006E4F47" w:rsidP="006E4F47">
      <w:pPr>
        <w:rPr>
          <w:lang w:eastAsia="en-GB"/>
        </w:rPr>
      </w:pPr>
      <w:r>
        <w:rPr>
          <w:lang w:eastAsia="en-GB"/>
        </w:rPr>
        <w:t>Addressing and executing these initiatives w</w:t>
      </w:r>
      <w:r w:rsidR="007900D0">
        <w:rPr>
          <w:lang w:eastAsia="en-GB"/>
        </w:rPr>
        <w:t xml:space="preserve">ould go a long way to ensuring </w:t>
      </w:r>
      <w:r>
        <w:rPr>
          <w:lang w:eastAsia="en-GB"/>
        </w:rPr>
        <w:t xml:space="preserve">that Australia enters the elite group of countries that spend over 3% of GDP on R&amp;D. </w:t>
      </w:r>
    </w:p>
    <w:p w14:paraId="5AF6C673" w14:textId="70248BE2" w:rsidR="00155042" w:rsidRDefault="00155042" w:rsidP="009C1A10">
      <w:pPr>
        <w:pStyle w:val="Heading2"/>
        <w:numPr>
          <w:ilvl w:val="0"/>
          <w:numId w:val="31"/>
        </w:numPr>
      </w:pPr>
      <w:bookmarkStart w:id="2" w:name="_Toc163309815"/>
      <w:bookmarkStart w:id="3" w:name="_Toc163390111"/>
      <w:bookmarkStart w:id="4" w:name="_Toc163534494"/>
      <w:r>
        <w:t>A</w:t>
      </w:r>
      <w:r w:rsidR="00A83BF5">
        <w:t xml:space="preserve">n integrated strategy of </w:t>
      </w:r>
      <w:r>
        <w:t>targeted public support for business R&amp;D</w:t>
      </w:r>
      <w:bookmarkEnd w:id="2"/>
      <w:bookmarkEnd w:id="3"/>
      <w:bookmarkEnd w:id="4"/>
    </w:p>
    <w:p w14:paraId="3674C480" w14:textId="125FB63E" w:rsidR="006C1F09" w:rsidRDefault="00C55A2F" w:rsidP="006C1F09">
      <w:r>
        <w:t>This strategy would cover</w:t>
      </w:r>
      <w:r w:rsidR="009327E2">
        <w:t>—</w:t>
      </w:r>
    </w:p>
    <w:p w14:paraId="449A3456" w14:textId="75CF36F3" w:rsidR="00374882" w:rsidRPr="00D8411C" w:rsidRDefault="00AA7E7F" w:rsidP="002D70E4">
      <w:pPr>
        <w:pStyle w:val="ListParagraph"/>
        <w:numPr>
          <w:ilvl w:val="0"/>
          <w:numId w:val="21"/>
        </w:numPr>
      </w:pPr>
      <w:r w:rsidRPr="00D8411C">
        <w:t>A cross-portfolio</w:t>
      </w:r>
      <w:r w:rsidR="0008467A" w:rsidRPr="00D8411C">
        <w:t xml:space="preserve"> suite of </w:t>
      </w:r>
      <w:r w:rsidRPr="00D8411C">
        <w:t xml:space="preserve">programs </w:t>
      </w:r>
      <w:r w:rsidR="002D70E4" w:rsidRPr="00D8411C">
        <w:t>t</w:t>
      </w:r>
      <w:r w:rsidR="0008467A" w:rsidRPr="00D8411C">
        <w:t xml:space="preserve">hat </w:t>
      </w:r>
      <w:r w:rsidR="002D70E4" w:rsidRPr="00D8411C">
        <w:t>t</w:t>
      </w:r>
      <w:r w:rsidR="00374882" w:rsidRPr="00D8411C">
        <w:t>arget</w:t>
      </w:r>
      <w:r w:rsidR="00D8411C">
        <w:t>s</w:t>
      </w:r>
      <w:r w:rsidR="00374882" w:rsidRPr="00D8411C">
        <w:t xml:space="preserve"> business investment</w:t>
      </w:r>
      <w:r w:rsidR="004A5B15" w:rsidRPr="00D8411C">
        <w:t xml:space="preserve"> in</w:t>
      </w:r>
      <w:r w:rsidR="0008467A" w:rsidRPr="00D8411C">
        <w:t xml:space="preserve"> the</w:t>
      </w:r>
      <w:r w:rsidR="004A5B15" w:rsidRPr="00D8411C">
        <w:t xml:space="preserve"> </w:t>
      </w:r>
      <w:r w:rsidR="0008467A" w:rsidRPr="00D8411C">
        <w:t xml:space="preserve">industries of the </w:t>
      </w:r>
      <w:r w:rsidR="004A5B15" w:rsidRPr="00D8411C">
        <w:t>future</w:t>
      </w:r>
      <w:r w:rsidR="00D8411C">
        <w:rPr>
          <w:rStyle w:val="FootnoteReference"/>
        </w:rPr>
        <w:footnoteReference w:id="1"/>
      </w:r>
      <w:r w:rsidR="00C55A2F">
        <w:t xml:space="preserve">, </w:t>
      </w:r>
      <w:r w:rsidR="00D8411C">
        <w:t xml:space="preserve">designed for medium-sized </w:t>
      </w:r>
      <w:r w:rsidR="00C55A2F">
        <w:t xml:space="preserve">technology-intensive </w:t>
      </w:r>
      <w:r w:rsidR="00D8411C">
        <w:t xml:space="preserve">enterprises with the potential to grow and prosper through export. </w:t>
      </w:r>
      <w:r w:rsidRPr="00D8411C">
        <w:t xml:space="preserve"> </w:t>
      </w:r>
    </w:p>
    <w:p w14:paraId="5FACBBF0" w14:textId="1DCB311E" w:rsidR="00A83BF5" w:rsidRPr="00D8411C" w:rsidRDefault="009327E2" w:rsidP="009327E2">
      <w:pPr>
        <w:pStyle w:val="ListParagraph"/>
        <w:numPr>
          <w:ilvl w:val="0"/>
          <w:numId w:val="21"/>
        </w:numPr>
      </w:pPr>
      <w:r w:rsidRPr="00D8411C">
        <w:t>A</w:t>
      </w:r>
      <w:r w:rsidR="00D8411C">
        <w:t xml:space="preserve"> modified </w:t>
      </w:r>
      <w:r w:rsidR="00220AB8" w:rsidRPr="00D8411C">
        <w:t>R&amp;D Tax Incentive</w:t>
      </w:r>
      <w:r w:rsidRPr="00D8411C">
        <w:t xml:space="preserve"> program </w:t>
      </w:r>
      <w:r w:rsidR="0008467A" w:rsidRPr="00D8411C">
        <w:t xml:space="preserve">that targets specific </w:t>
      </w:r>
      <w:r w:rsidRPr="00D8411C">
        <w:t xml:space="preserve">technologies </w:t>
      </w:r>
      <w:r w:rsidR="00EB3F5B">
        <w:t xml:space="preserve">in the </w:t>
      </w:r>
      <w:r w:rsidRPr="00D8411C">
        <w:t>industries</w:t>
      </w:r>
      <w:r w:rsidR="0008467A" w:rsidRPr="00D8411C">
        <w:t xml:space="preserve"> of the future</w:t>
      </w:r>
      <w:r w:rsidRPr="00D8411C">
        <w:t xml:space="preserve">. </w:t>
      </w:r>
    </w:p>
    <w:p w14:paraId="59D5989C" w14:textId="334DB0E7" w:rsidR="00AA7E7F" w:rsidRPr="00D8411C" w:rsidRDefault="00D8411C" w:rsidP="00AA7E7F">
      <w:pPr>
        <w:pStyle w:val="ListParagraph"/>
        <w:numPr>
          <w:ilvl w:val="0"/>
          <w:numId w:val="21"/>
        </w:numPr>
      </w:pPr>
      <w:r>
        <w:t>A d</w:t>
      </w:r>
      <w:r w:rsidR="00AA7E7F" w:rsidRPr="00D8411C">
        <w:t xml:space="preserve">irect investment </w:t>
      </w:r>
      <w:r>
        <w:t xml:space="preserve">strategy that encourages </w:t>
      </w:r>
      <w:r w:rsidR="00AA7E7F" w:rsidRPr="00D8411C">
        <w:t>business</w:t>
      </w:r>
      <w:r w:rsidR="00EB3F5B">
        <w:t>es to invest in</w:t>
      </w:r>
      <w:r>
        <w:t xml:space="preserve"> </w:t>
      </w:r>
      <w:r w:rsidR="00AA7E7F" w:rsidRPr="00D8411C">
        <w:t xml:space="preserve">R&amp;D </w:t>
      </w:r>
      <w:r w:rsidR="00EB3F5B">
        <w:t>that is directed towards exploring and discovering</w:t>
      </w:r>
      <w:r w:rsidR="00AA7E7F" w:rsidRPr="00D8411C">
        <w:t xml:space="preserve"> new ideas and technologies that may not have an immediate commercial application. </w:t>
      </w:r>
    </w:p>
    <w:p w14:paraId="3088AA0A" w14:textId="73189CBB" w:rsidR="00AA7E7F" w:rsidRPr="00D8411C" w:rsidRDefault="00EB3F5B" w:rsidP="00AA7E7F">
      <w:pPr>
        <w:pStyle w:val="ListParagraph"/>
        <w:numPr>
          <w:ilvl w:val="0"/>
          <w:numId w:val="21"/>
        </w:numPr>
      </w:pPr>
      <w:r>
        <w:t>A</w:t>
      </w:r>
      <w:r w:rsidR="00AA7E7F" w:rsidRPr="00D8411C">
        <w:t xml:space="preserve"> Public-Private Partnership (PPP) </w:t>
      </w:r>
      <w:r w:rsidR="0008467A" w:rsidRPr="00D8411C">
        <w:t xml:space="preserve">program </w:t>
      </w:r>
      <w:r>
        <w:t xml:space="preserve">that </w:t>
      </w:r>
      <w:r w:rsidR="00AA7E7F" w:rsidRPr="00D8411C">
        <w:t>invest</w:t>
      </w:r>
      <w:r>
        <w:t>s</w:t>
      </w:r>
      <w:r w:rsidR="00AA7E7F" w:rsidRPr="00D8411C">
        <w:t xml:space="preserve"> in infrastructure and facilities that encourage collaboration </w:t>
      </w:r>
      <w:r>
        <w:t xml:space="preserve">with universities and public research organisations  </w:t>
      </w:r>
    </w:p>
    <w:p w14:paraId="1B84D82D" w14:textId="46FCCECF" w:rsidR="00AA7E7F" w:rsidRPr="00D8411C" w:rsidRDefault="00EB3F5B" w:rsidP="00AA7E7F">
      <w:pPr>
        <w:pStyle w:val="ListParagraph"/>
        <w:numPr>
          <w:ilvl w:val="0"/>
          <w:numId w:val="21"/>
        </w:numPr>
      </w:pPr>
      <w:r>
        <w:t>A Research Facilities Access P</w:t>
      </w:r>
      <w:r w:rsidR="00AA7E7F" w:rsidRPr="00D8411C">
        <w:t xml:space="preserve">rogram </w:t>
      </w:r>
      <w:r>
        <w:t xml:space="preserve">that </w:t>
      </w:r>
      <w:r w:rsidR="00AA7E7F" w:rsidRPr="00D8411C">
        <w:t>support</w:t>
      </w:r>
      <w:r>
        <w:t>s</w:t>
      </w:r>
      <w:r w:rsidR="00AA7E7F" w:rsidRPr="00D8411C">
        <w:t xml:space="preserve"> business access to national and international research facilities and equipment for the purposes of testing, scaleup and prototyping. </w:t>
      </w:r>
    </w:p>
    <w:p w14:paraId="1C6BECA2" w14:textId="4CF838D0" w:rsidR="00220AB8" w:rsidRPr="00D8411C" w:rsidRDefault="00AA7E7F" w:rsidP="00BE1988">
      <w:pPr>
        <w:pStyle w:val="ListParagraph"/>
        <w:numPr>
          <w:ilvl w:val="0"/>
          <w:numId w:val="21"/>
        </w:numPr>
      </w:pPr>
      <w:r w:rsidRPr="00D8411C">
        <w:t xml:space="preserve">A </w:t>
      </w:r>
      <w:r w:rsidR="0008467A" w:rsidRPr="00D8411C">
        <w:t>N</w:t>
      </w:r>
      <w:r w:rsidRPr="00D8411C">
        <w:t xml:space="preserve">ational </w:t>
      </w:r>
      <w:r w:rsidR="00BE1988">
        <w:t xml:space="preserve">Technology and </w:t>
      </w:r>
      <w:r w:rsidRPr="00D8411C">
        <w:t xml:space="preserve">Knowledge Transfer program </w:t>
      </w:r>
      <w:r w:rsidR="0008467A" w:rsidRPr="00D8411C">
        <w:t xml:space="preserve">to </w:t>
      </w:r>
      <w:r w:rsidRPr="00D8411C">
        <w:t>support</w:t>
      </w:r>
      <w:r w:rsidR="0008467A" w:rsidRPr="00D8411C">
        <w:t xml:space="preserve"> university and public research organisation </w:t>
      </w:r>
      <w:r w:rsidRPr="00D8411C">
        <w:t>technology transfer offices</w:t>
      </w:r>
      <w:r w:rsidR="00BE1988">
        <w:t xml:space="preserve"> (TTOs)</w:t>
      </w:r>
      <w:r w:rsidR="00BE1988">
        <w:rPr>
          <w:rStyle w:val="FootnoteReference"/>
        </w:rPr>
        <w:footnoteReference w:id="2"/>
      </w:r>
      <w:r w:rsidRPr="00D8411C">
        <w:t xml:space="preserve">. </w:t>
      </w:r>
      <w:r w:rsidR="00BE1988">
        <w:t>Currently</w:t>
      </w:r>
      <w:r w:rsidRPr="00D8411C">
        <w:t>, there are no government programs that support TTOs.</w:t>
      </w:r>
    </w:p>
    <w:p w14:paraId="3EA4CFE2" w14:textId="0B084BD0" w:rsidR="00B272F0" w:rsidRPr="00966A17" w:rsidRDefault="00C054D1" w:rsidP="00B272F0">
      <w:r>
        <w:t xml:space="preserve">Elements </w:t>
      </w:r>
      <w:r w:rsidR="00B272F0">
        <w:t>of these programs are in play in Australia</w:t>
      </w:r>
      <w:r w:rsidR="004A5B15">
        <w:t xml:space="preserve"> by the Commonwealth and the States acting individually</w:t>
      </w:r>
      <w:r w:rsidR="00B272F0">
        <w:t xml:space="preserve">, but they are </w:t>
      </w:r>
      <w:r w:rsidR="00BE1988">
        <w:t xml:space="preserve">disconnected and often lack scale and critical mass. They do not add up to </w:t>
      </w:r>
      <w:r w:rsidR="00B272F0">
        <w:t xml:space="preserve">an integrated </w:t>
      </w:r>
      <w:r w:rsidR="004A5B15">
        <w:t xml:space="preserve">national </w:t>
      </w:r>
      <w:r w:rsidR="0013290F">
        <w:t>R&amp;D s</w:t>
      </w:r>
      <w:r w:rsidR="00B272F0">
        <w:t xml:space="preserve">trategy. </w:t>
      </w:r>
      <w:r w:rsidR="0008467A">
        <w:t xml:space="preserve"> </w:t>
      </w:r>
      <w:r w:rsidR="00B272F0">
        <w:t xml:space="preserve"> </w:t>
      </w:r>
      <w:r w:rsidR="00966A17">
        <w:t xml:space="preserve">The </w:t>
      </w:r>
      <w:r w:rsidR="00966A17" w:rsidRPr="00966A17">
        <w:rPr>
          <w:i/>
          <w:iCs/>
        </w:rPr>
        <w:t>Future Made in Australia Act</w:t>
      </w:r>
      <w:r w:rsidR="00966A17">
        <w:rPr>
          <w:i/>
          <w:iCs/>
        </w:rPr>
        <w:t xml:space="preserve"> </w:t>
      </w:r>
      <w:r w:rsidR="00966A17">
        <w:t xml:space="preserve">is potentially an important vehicle to address this. </w:t>
      </w:r>
    </w:p>
    <w:p w14:paraId="09BE6535" w14:textId="6CC5D639" w:rsidR="00C55A2F" w:rsidRDefault="00C55A2F" w:rsidP="009C1A10">
      <w:pPr>
        <w:pStyle w:val="Heading2"/>
        <w:numPr>
          <w:ilvl w:val="0"/>
          <w:numId w:val="31"/>
        </w:numPr>
      </w:pPr>
      <w:bookmarkStart w:id="5" w:name="_Toc163390112"/>
      <w:bookmarkStart w:id="6" w:name="_Toc163534495"/>
      <w:bookmarkStart w:id="7" w:name="_Toc163309817"/>
      <w:r>
        <w:t xml:space="preserve">A </w:t>
      </w:r>
      <w:r w:rsidR="00CF14F8">
        <w:t>massive l</w:t>
      </w:r>
      <w:r>
        <w:t xml:space="preserve">ift in </w:t>
      </w:r>
      <w:r w:rsidR="00CF14F8">
        <w:t xml:space="preserve">public R&amp;D </w:t>
      </w:r>
      <w:r>
        <w:t>investment</w:t>
      </w:r>
      <w:bookmarkEnd w:id="5"/>
      <w:bookmarkEnd w:id="6"/>
      <w:r>
        <w:t xml:space="preserve"> </w:t>
      </w:r>
      <w:bookmarkEnd w:id="7"/>
    </w:p>
    <w:p w14:paraId="125DB370" w14:textId="6F669E43" w:rsidR="0039120B" w:rsidRDefault="0039120B" w:rsidP="0039120B">
      <w:pPr>
        <w:rPr>
          <w:lang w:val="en-GB"/>
        </w:rPr>
      </w:pPr>
      <w:r w:rsidRPr="00E901B5">
        <w:rPr>
          <w:lang w:val="en-GB"/>
        </w:rPr>
        <w:t xml:space="preserve">Government investment in public research is essential for </w:t>
      </w:r>
      <w:r>
        <w:rPr>
          <w:lang w:val="en-GB"/>
        </w:rPr>
        <w:t xml:space="preserve">building business-government collaborations in areas of applied research and experimental development and providing businesses with </w:t>
      </w:r>
      <w:r w:rsidRPr="00E901B5">
        <w:rPr>
          <w:lang w:val="en-GB"/>
        </w:rPr>
        <w:t>access to sophisticated R&amp;D equipment</w:t>
      </w:r>
      <w:r>
        <w:rPr>
          <w:rStyle w:val="FootnoteReference"/>
          <w:lang w:val="en-GB"/>
        </w:rPr>
        <w:footnoteReference w:id="3"/>
      </w:r>
      <w:r w:rsidRPr="00E901B5">
        <w:rPr>
          <w:lang w:val="en-GB"/>
        </w:rPr>
        <w:t xml:space="preserve">. </w:t>
      </w:r>
      <w:r w:rsidR="00CF14F8">
        <w:rPr>
          <w:lang w:val="en-GB"/>
        </w:rPr>
        <w:t xml:space="preserve">This is fundamental for building the industries of the future. </w:t>
      </w:r>
    </w:p>
    <w:p w14:paraId="13EF1A08" w14:textId="5C70F8BD" w:rsidR="00C55A2F" w:rsidRDefault="00C55A2F" w:rsidP="00C55A2F">
      <w:r>
        <w:t xml:space="preserve">There is little doubt that Australian public research has been </w:t>
      </w:r>
      <w:r w:rsidR="00CF14F8">
        <w:t xml:space="preserve">substantially </w:t>
      </w:r>
      <w:r>
        <w:t>defunded over the last 15 years</w:t>
      </w:r>
      <w:r w:rsidR="00CF14F8">
        <w:t>.</w:t>
      </w:r>
      <w:r>
        <w:t xml:space="preserve"> This trend must be reversed. </w:t>
      </w:r>
    </w:p>
    <w:p w14:paraId="13338E06" w14:textId="1BFCD66E" w:rsidR="00C55A2F" w:rsidRDefault="00C55A2F" w:rsidP="00C55A2F">
      <w:r>
        <w:t>The case for supporting</w:t>
      </w:r>
      <w:r w:rsidR="00D00A3F">
        <w:t xml:space="preserve"> public research </w:t>
      </w:r>
      <w:r>
        <w:t>is even more compelling when it is reali</w:t>
      </w:r>
      <w:r w:rsidR="00CF14F8">
        <w:t>s</w:t>
      </w:r>
      <w:r w:rsidR="00D00A3F">
        <w:t>ed that in today’s world, the “three horizons” approach to strategy is no longer bounded by time. Public research organisations can be forward-looking, agile,</w:t>
      </w:r>
      <w:r>
        <w:t xml:space="preserve"> and responsive to technology signals and scenarios to lead the deployment of resources to Horizon Three projects. </w:t>
      </w:r>
    </w:p>
    <w:p w14:paraId="2651DC5B" w14:textId="70A46C7B" w:rsidR="00CF14F8" w:rsidRDefault="00CF14F8" w:rsidP="00C55A2F">
      <w:pPr>
        <w:rPr>
          <w:lang w:eastAsia="en-GB"/>
        </w:rPr>
      </w:pPr>
      <w:r>
        <w:rPr>
          <w:lang w:eastAsia="en-GB"/>
        </w:rPr>
        <w:t>This initiative would cover existing public research organisations</w:t>
      </w:r>
      <w:r w:rsidRPr="00D00A3F">
        <w:t xml:space="preserve"> </w:t>
      </w:r>
      <w:r>
        <w:t>(CSIRO, ASNSTO, DST, and State Agriculture Departments)</w:t>
      </w:r>
      <w:r w:rsidRPr="00660AEB">
        <w:rPr>
          <w:lang w:eastAsia="en-GB"/>
        </w:rPr>
        <w:t xml:space="preserve"> and</w:t>
      </w:r>
      <w:r>
        <w:rPr>
          <w:lang w:eastAsia="en-GB"/>
        </w:rPr>
        <w:t>, where required,</w:t>
      </w:r>
      <w:r w:rsidRPr="00660AEB">
        <w:rPr>
          <w:lang w:eastAsia="en-GB"/>
        </w:rPr>
        <w:t xml:space="preserve"> </w:t>
      </w:r>
      <w:r>
        <w:rPr>
          <w:lang w:eastAsia="en-GB"/>
        </w:rPr>
        <w:t xml:space="preserve">new national research institutes/laboratories established to focus on the specific technologies required to grow the industries of the future. </w:t>
      </w:r>
    </w:p>
    <w:p w14:paraId="0B27C14D" w14:textId="2BFA3835" w:rsidR="00D00A3F" w:rsidRPr="00D00A3F" w:rsidRDefault="00D00A3F" w:rsidP="00081064">
      <w:pPr>
        <w:pStyle w:val="Heading2"/>
        <w:numPr>
          <w:ilvl w:val="0"/>
          <w:numId w:val="31"/>
        </w:numPr>
      </w:pPr>
      <w:bookmarkStart w:id="8" w:name="_Toc163534496"/>
      <w:r w:rsidRPr="00D00A3F">
        <w:t>An active and coordinated foreign direct investment (FDI) program</w:t>
      </w:r>
      <w:bookmarkEnd w:id="8"/>
      <w:r w:rsidRPr="00D00A3F">
        <w:t xml:space="preserve"> </w:t>
      </w:r>
      <w:r w:rsidR="00081064">
        <w:t xml:space="preserve"> </w:t>
      </w:r>
    </w:p>
    <w:p w14:paraId="7DF579D2" w14:textId="568C457D" w:rsidR="005B12D7" w:rsidRDefault="00BE1988" w:rsidP="005B12D7">
      <w:r>
        <w:t xml:space="preserve">Having regard to the intense competition among countries and regions to attract global business R&amp;D investment, an </w:t>
      </w:r>
      <w:r w:rsidR="005B12D7" w:rsidRPr="005B12D7">
        <w:t xml:space="preserve">active and coordinated foreign direct investment (FDI) program </w:t>
      </w:r>
      <w:r>
        <w:t xml:space="preserve">is essential. </w:t>
      </w:r>
      <w:r w:rsidR="00DE0331">
        <w:t>I</w:t>
      </w:r>
      <w:r w:rsidR="005B12D7" w:rsidRPr="005B12D7">
        <w:t xml:space="preserve">t </w:t>
      </w:r>
      <w:r w:rsidR="0027475D">
        <w:t>would involve</w:t>
      </w:r>
      <w:r w:rsidR="00E518D8">
        <w:t xml:space="preserve"> the following </w:t>
      </w:r>
      <w:r w:rsidR="00CF14F8">
        <w:t xml:space="preserve">basic </w:t>
      </w:r>
      <w:r w:rsidR="00E518D8">
        <w:t>elements</w:t>
      </w:r>
      <w:r w:rsidR="0013290F">
        <w:t xml:space="preserve">: </w:t>
      </w:r>
    </w:p>
    <w:p w14:paraId="353DB00C" w14:textId="23CD5AC9" w:rsidR="00E518D8" w:rsidRDefault="00E518D8" w:rsidP="00CF2D80">
      <w:pPr>
        <w:pStyle w:val="ListParagraph"/>
        <w:numPr>
          <w:ilvl w:val="0"/>
          <w:numId w:val="22"/>
        </w:numPr>
      </w:pPr>
      <w:r w:rsidRPr="00CF2D80">
        <w:rPr>
          <w:i/>
          <w:iCs/>
        </w:rPr>
        <w:t>A policy framework that provides clarity and stability</w:t>
      </w:r>
      <w:r>
        <w:t xml:space="preserve">—including guidelines on intellectual property rights, taxation incentives and obligations, regulatory requirements, grants, research funding, and </w:t>
      </w:r>
      <w:r w:rsidR="00CF14F8">
        <w:t xml:space="preserve">principles for </w:t>
      </w:r>
      <w:r>
        <w:t>customised support services</w:t>
      </w:r>
      <w:r w:rsidR="00CF14F8">
        <w:t xml:space="preserve">. </w:t>
      </w:r>
      <w:r>
        <w:t xml:space="preserve"> </w:t>
      </w:r>
      <w:r w:rsidR="00CF14F8">
        <w:t xml:space="preserve"> </w:t>
      </w:r>
    </w:p>
    <w:p w14:paraId="408FC6A5" w14:textId="18208E3D" w:rsidR="005B12D7" w:rsidRPr="00381F9E" w:rsidRDefault="005B12D7" w:rsidP="00CF2D80">
      <w:pPr>
        <w:pStyle w:val="ListParagraph"/>
        <w:numPr>
          <w:ilvl w:val="0"/>
          <w:numId w:val="22"/>
        </w:numPr>
      </w:pPr>
      <w:r w:rsidRPr="00CF2D80">
        <w:rPr>
          <w:i/>
          <w:iCs/>
        </w:rPr>
        <w:t xml:space="preserve">Target </w:t>
      </w:r>
      <w:r w:rsidR="00381F9E" w:rsidRPr="00CF2D80">
        <w:rPr>
          <w:i/>
          <w:iCs/>
        </w:rPr>
        <w:t>i</w:t>
      </w:r>
      <w:r w:rsidRPr="00CF2D80">
        <w:rPr>
          <w:i/>
          <w:iCs/>
        </w:rPr>
        <w:t>dentification</w:t>
      </w:r>
      <w:r w:rsidR="00381F9E">
        <w:t xml:space="preserve">—analysis </w:t>
      </w:r>
      <w:r w:rsidR="00381F9E" w:rsidRPr="00381F9E">
        <w:t>of global R&amp;D investment trends and target sectors and investors</w:t>
      </w:r>
      <w:r w:rsidR="00CF14F8">
        <w:t>.</w:t>
      </w:r>
      <w:r w:rsidR="00AA7E7F">
        <w:t xml:space="preserve"> </w:t>
      </w:r>
    </w:p>
    <w:p w14:paraId="7F65CA1B" w14:textId="412E4D24" w:rsidR="005B12D7" w:rsidRDefault="00CF14F8" w:rsidP="00CF2D80">
      <w:pPr>
        <w:pStyle w:val="ListParagraph"/>
        <w:numPr>
          <w:ilvl w:val="0"/>
          <w:numId w:val="22"/>
        </w:numPr>
      </w:pPr>
      <w:r>
        <w:rPr>
          <w:i/>
          <w:iCs/>
        </w:rPr>
        <w:t>A c</w:t>
      </w:r>
      <w:r w:rsidR="005B12D7" w:rsidRPr="00CF2D80">
        <w:rPr>
          <w:i/>
          <w:iCs/>
        </w:rPr>
        <w:t>ompelling value proposition</w:t>
      </w:r>
      <w:r w:rsidR="00381F9E">
        <w:t>—</w:t>
      </w:r>
      <w:r w:rsidR="005B12D7">
        <w:t xml:space="preserve">highlighting the benefits of investing in </w:t>
      </w:r>
      <w:r w:rsidR="00E518D8">
        <w:t xml:space="preserve">Australia, </w:t>
      </w:r>
      <w:r w:rsidR="005B12D7">
        <w:t>including access to talent, infrastructure, research institutions, and supportive regulatory frameworks</w:t>
      </w:r>
      <w:r>
        <w:t xml:space="preserve"> and how it would deliver strong investor ROIs</w:t>
      </w:r>
      <w:r w:rsidR="005B12D7">
        <w:t>.</w:t>
      </w:r>
      <w:r w:rsidR="00381F9E">
        <w:t xml:space="preserve"> </w:t>
      </w:r>
    </w:p>
    <w:p w14:paraId="5EAE74F1" w14:textId="38463509" w:rsidR="005B12D7" w:rsidRDefault="0027475D" w:rsidP="00CF2D80">
      <w:pPr>
        <w:pStyle w:val="ListParagraph"/>
        <w:numPr>
          <w:ilvl w:val="0"/>
          <w:numId w:val="22"/>
        </w:numPr>
      </w:pPr>
      <w:r w:rsidRPr="00CF2D80">
        <w:rPr>
          <w:i/>
          <w:iCs/>
        </w:rPr>
        <w:t xml:space="preserve">Direct engagement </w:t>
      </w:r>
      <w:r w:rsidR="005B12D7" w:rsidRPr="00CF2D80">
        <w:rPr>
          <w:i/>
          <w:iCs/>
        </w:rPr>
        <w:t>with target investors</w:t>
      </w:r>
      <w:r>
        <w:t>—</w:t>
      </w:r>
      <w:r w:rsidR="005B12D7">
        <w:t>through</w:t>
      </w:r>
      <w:r w:rsidR="00CF2D80">
        <w:t xml:space="preserve"> a comprehensive program of </w:t>
      </w:r>
      <w:r w:rsidR="005B12D7">
        <w:t>targeted outreach efforts</w:t>
      </w:r>
      <w:r w:rsidR="00CF2D80">
        <w:t>.</w:t>
      </w:r>
    </w:p>
    <w:p w14:paraId="7C2557C2" w14:textId="7DA2A939" w:rsidR="005B12D7" w:rsidRDefault="0027475D" w:rsidP="00CF2D80">
      <w:pPr>
        <w:pStyle w:val="ListParagraph"/>
        <w:numPr>
          <w:ilvl w:val="0"/>
          <w:numId w:val="22"/>
        </w:numPr>
      </w:pPr>
      <w:r w:rsidRPr="00CF2D80">
        <w:rPr>
          <w:i/>
          <w:iCs/>
        </w:rPr>
        <w:t>Promoting knowledge exchange and technology transfer</w:t>
      </w:r>
      <w:r w:rsidR="00CF14F8">
        <w:rPr>
          <w:i/>
          <w:iCs/>
        </w:rPr>
        <w:t>, including collaboration between R&amp;D investors, higher education, public research organisations,</w:t>
      </w:r>
      <w:r w:rsidR="00CF14F8">
        <w:t xml:space="preserve"> and specialised R&amp;D providers</w:t>
      </w:r>
      <w:r w:rsidR="00DE0331">
        <w:t>.</w:t>
      </w:r>
      <w:r w:rsidR="00CF2D80">
        <w:t xml:space="preserve"> </w:t>
      </w:r>
    </w:p>
    <w:p w14:paraId="7310E74F" w14:textId="17213A2B" w:rsidR="00DE0331" w:rsidRDefault="00DE0331" w:rsidP="00DE0331">
      <w:pPr>
        <w:pStyle w:val="ListParagraph"/>
        <w:numPr>
          <w:ilvl w:val="0"/>
          <w:numId w:val="22"/>
        </w:numPr>
      </w:pPr>
      <w:r>
        <w:rPr>
          <w:i/>
          <w:iCs/>
        </w:rPr>
        <w:t xml:space="preserve">Support for </w:t>
      </w:r>
      <w:r w:rsidRPr="00CF2D80">
        <w:rPr>
          <w:i/>
          <w:iCs/>
        </w:rPr>
        <w:t>public-private partnerships</w:t>
      </w:r>
      <w:r>
        <w:t>—to co-fund and co-implement initiatives that support the objectives of the FDI program.</w:t>
      </w:r>
    </w:p>
    <w:p w14:paraId="0052EDB8" w14:textId="42AD3E38" w:rsidR="005B12D7" w:rsidRDefault="00DE0331" w:rsidP="00DE0331">
      <w:r w:rsidRPr="00DE0331">
        <w:t>The FDI</w:t>
      </w:r>
      <w:r>
        <w:t xml:space="preserve"> program</w:t>
      </w:r>
      <w:r w:rsidRPr="00DE0331">
        <w:t xml:space="preserve"> </w:t>
      </w:r>
      <w:r>
        <w:t>would be b</w:t>
      </w:r>
      <w:r w:rsidRPr="00DE0331">
        <w:t>ased on a</w:t>
      </w:r>
      <w:r>
        <w:rPr>
          <w:i/>
          <w:iCs/>
        </w:rPr>
        <w:t xml:space="preserve"> </w:t>
      </w:r>
      <w:r w:rsidR="00DD52C8" w:rsidRPr="00CF2D80">
        <w:rPr>
          <w:i/>
          <w:iCs/>
        </w:rPr>
        <w:t xml:space="preserve">mindset of </w:t>
      </w:r>
      <w:r w:rsidR="005B12D7" w:rsidRPr="00CF2D80">
        <w:rPr>
          <w:i/>
          <w:iCs/>
        </w:rPr>
        <w:t>collaboration</w:t>
      </w:r>
      <w:r w:rsidR="00DD52C8">
        <w:t>—</w:t>
      </w:r>
      <w:r w:rsidR="005B12D7">
        <w:t>between government agencies</w:t>
      </w:r>
      <w:r w:rsidR="00DD52C8">
        <w:t xml:space="preserve"> (Commonwealth and State)</w:t>
      </w:r>
      <w:r w:rsidR="005B12D7">
        <w:t>, industry</w:t>
      </w:r>
      <w:r>
        <w:t xml:space="preserve"> and professional </w:t>
      </w:r>
      <w:r w:rsidR="005B12D7">
        <w:t>associations, research institutions, and other stakeholders to leverage complementary strengths and resources.</w:t>
      </w:r>
    </w:p>
    <w:p w14:paraId="377667C6" w14:textId="0D63F11D" w:rsidR="00DD52C8" w:rsidRPr="00E518D8" w:rsidRDefault="00E518D8" w:rsidP="00E518D8">
      <w:r w:rsidRPr="00E518D8">
        <w:t xml:space="preserve">The FDI program would </w:t>
      </w:r>
      <w:r w:rsidR="00CF2D80" w:rsidRPr="00E518D8">
        <w:t>Incorporat</w:t>
      </w:r>
      <w:r>
        <w:t xml:space="preserve">e mechanisms for monitoring and evaluation, </w:t>
      </w:r>
      <w:r w:rsidR="00CF2D80" w:rsidRPr="00E518D8">
        <w:t>including</w:t>
      </w:r>
      <w:r w:rsidR="00DD52C8" w:rsidRPr="00E518D8">
        <w:t xml:space="preserve"> key performance indicators (KPIs) such as investment inflows, job creation, and innovation outcomes.</w:t>
      </w:r>
    </w:p>
    <w:p w14:paraId="04C32AC3" w14:textId="290EFFEC" w:rsidR="00D00A3F" w:rsidRDefault="00D00A3F" w:rsidP="00081064">
      <w:pPr>
        <w:pStyle w:val="Heading2"/>
        <w:numPr>
          <w:ilvl w:val="0"/>
          <w:numId w:val="31"/>
        </w:numPr>
      </w:pPr>
      <w:bookmarkStart w:id="9" w:name="_Toc163534497"/>
      <w:r w:rsidRPr="00D00A3F">
        <w:t xml:space="preserve">Sustaining the investment commitment to education and skills development to support </w:t>
      </w:r>
      <w:r>
        <w:t>the industries of the future</w:t>
      </w:r>
      <w:bookmarkEnd w:id="9"/>
      <w:r>
        <w:t xml:space="preserve"> </w:t>
      </w:r>
      <w:r w:rsidRPr="00D00A3F">
        <w:t xml:space="preserve"> </w:t>
      </w:r>
    </w:p>
    <w:p w14:paraId="31EE8131" w14:textId="78256402" w:rsidR="00081064" w:rsidRPr="00081064" w:rsidRDefault="00081064" w:rsidP="00081064">
      <w:r>
        <w:t xml:space="preserve">Investment in education and skills is fundamental to building and sustaining the industries of the future. </w:t>
      </w:r>
    </w:p>
    <w:p w14:paraId="4F5C94BB" w14:textId="2E0570BD" w:rsidR="00401B16" w:rsidRDefault="00401B16" w:rsidP="00401B16">
      <w:pPr>
        <w:rPr>
          <w:color w:val="2A3140"/>
          <w:lang w:val="en-GB"/>
        </w:rPr>
      </w:pPr>
      <w:r>
        <w:rPr>
          <w:color w:val="2A3140"/>
          <w:lang w:val="en-GB"/>
        </w:rPr>
        <w:t>U</w:t>
      </w:r>
      <w:r w:rsidRPr="00DE0C98">
        <w:rPr>
          <w:color w:val="2A3140"/>
          <w:lang w:val="en-GB"/>
        </w:rPr>
        <w:t xml:space="preserve">niversities </w:t>
      </w:r>
      <w:r>
        <w:rPr>
          <w:color w:val="2A3140"/>
          <w:lang w:val="en-GB"/>
        </w:rPr>
        <w:t xml:space="preserve">and TAFE/VET institutions </w:t>
      </w:r>
      <w:r w:rsidR="00E518D8">
        <w:rPr>
          <w:color w:val="2A3140"/>
          <w:lang w:val="en-GB"/>
        </w:rPr>
        <w:t>still</w:t>
      </w:r>
      <w:r w:rsidR="00AA7E7F">
        <w:rPr>
          <w:color w:val="2A3140"/>
          <w:lang w:val="en-GB"/>
        </w:rPr>
        <w:t xml:space="preserve"> </w:t>
      </w:r>
      <w:r w:rsidRPr="00DE0C98">
        <w:rPr>
          <w:color w:val="2A3140"/>
          <w:lang w:val="en-GB"/>
        </w:rPr>
        <w:t xml:space="preserve">face challenges </w:t>
      </w:r>
      <w:r w:rsidR="00E518D8">
        <w:rPr>
          <w:color w:val="2A3140"/>
          <w:lang w:val="en-GB"/>
        </w:rPr>
        <w:t xml:space="preserve">in </w:t>
      </w:r>
      <w:r>
        <w:rPr>
          <w:color w:val="2A3140"/>
          <w:lang w:val="en-GB"/>
        </w:rPr>
        <w:t>keeping pace with the sheer speed of technological advances. They can sometimes be slow to update their curriculums, leading to a skills gap in which</w:t>
      </w:r>
      <w:r w:rsidRPr="00DE0C98">
        <w:rPr>
          <w:color w:val="2A3140"/>
          <w:lang w:val="en-GB"/>
        </w:rPr>
        <w:t xml:space="preserve"> graduates may not have the latest knowledge required by employers. </w:t>
      </w:r>
    </w:p>
    <w:p w14:paraId="2DC2A712" w14:textId="77777777" w:rsidR="00401B16" w:rsidRPr="00DE0C98" w:rsidRDefault="00401B16" w:rsidP="00401B16">
      <w:pPr>
        <w:rPr>
          <w:color w:val="2A3140"/>
          <w:lang w:val="en-GB"/>
        </w:rPr>
      </w:pPr>
      <w:r w:rsidRPr="00DE0C98">
        <w:rPr>
          <w:color w:val="2A3140"/>
          <w:lang w:val="en-GB"/>
        </w:rPr>
        <w:t xml:space="preserve">Moreover, there is a growing </w:t>
      </w:r>
      <w:r>
        <w:rPr>
          <w:color w:val="2A3140"/>
          <w:lang w:val="en-GB"/>
        </w:rPr>
        <w:t xml:space="preserve">requirement </w:t>
      </w:r>
      <w:r w:rsidRPr="00DE0C98">
        <w:rPr>
          <w:color w:val="2A3140"/>
          <w:lang w:val="en-GB"/>
        </w:rPr>
        <w:t>for interdisciplinary programs that combine technical skills with domain-specific knowledge, preparing students for the complexities of modern R&amp;D projects.</w:t>
      </w:r>
    </w:p>
    <w:p w14:paraId="1F902EEA" w14:textId="77777777" w:rsidR="00401B16" w:rsidRDefault="00401B16" w:rsidP="00401B16">
      <w:pPr>
        <w:rPr>
          <w:color w:val="2A3140"/>
          <w:lang w:val="en-GB"/>
        </w:rPr>
      </w:pPr>
      <w:r w:rsidRPr="00DE0C98">
        <w:rPr>
          <w:color w:val="2A3140"/>
          <w:lang w:val="en-GB"/>
        </w:rPr>
        <w:t>Many universities have made significant strides in integrating digital technologies into their curricula</w:t>
      </w:r>
      <w:r>
        <w:rPr>
          <w:color w:val="2A3140"/>
          <w:lang w:val="en-GB"/>
        </w:rPr>
        <w:t>.</w:t>
      </w:r>
      <w:r w:rsidRPr="00DE0C98">
        <w:rPr>
          <w:color w:val="2A3140"/>
          <w:lang w:val="en-GB"/>
        </w:rPr>
        <w:t xml:space="preserve"> They partner with industry leaders to ensure that programs remain relevant and that students gain exposure to real-world applications.</w:t>
      </w:r>
      <w:r>
        <w:rPr>
          <w:color w:val="2A3140"/>
          <w:lang w:val="en-GB"/>
        </w:rPr>
        <w:t xml:space="preserve"> </w:t>
      </w:r>
    </w:p>
    <w:p w14:paraId="46CEEE76" w14:textId="77777777" w:rsidR="00556F94" w:rsidRDefault="00556F94" w:rsidP="00556F94">
      <w:pPr>
        <w:rPr>
          <w:color w:val="2A3140"/>
          <w:lang w:val="en-GB"/>
        </w:rPr>
      </w:pPr>
      <w:r>
        <w:rPr>
          <w:color w:val="2A3140"/>
          <w:lang w:val="en-GB"/>
        </w:rPr>
        <w:t>The newly established Tech Council acknowledges this problem, but there is a lot of catching up to do.</w:t>
      </w:r>
    </w:p>
    <w:p w14:paraId="6BE4F272" w14:textId="36E1F96B" w:rsidR="00D8411C" w:rsidRDefault="00D8411C" w:rsidP="00556F94">
      <w:pPr>
        <w:rPr>
          <w:color w:val="2A3140"/>
          <w:lang w:val="en-GB"/>
        </w:rPr>
      </w:pPr>
      <w:r w:rsidRPr="008C2F97">
        <w:t>A</w:t>
      </w:r>
      <w:r w:rsidR="008C2F97" w:rsidRPr="008C2F97">
        <w:t xml:space="preserve"> </w:t>
      </w:r>
      <w:r w:rsidR="008C2F97" w:rsidRPr="008C2F97">
        <w:rPr>
          <w:i/>
          <w:iCs/>
        </w:rPr>
        <w:t xml:space="preserve">New Industries R&amp;D Skills Development and Talent Retention </w:t>
      </w:r>
      <w:r w:rsidR="008C2F97">
        <w:rPr>
          <w:i/>
          <w:iCs/>
        </w:rPr>
        <w:t>P</w:t>
      </w:r>
      <w:r w:rsidR="008C2F97" w:rsidRPr="008C2F97">
        <w:rPr>
          <w:i/>
          <w:iCs/>
        </w:rPr>
        <w:t>rogram</w:t>
      </w:r>
      <w:r w:rsidR="008C2F97" w:rsidRPr="008C2F97">
        <w:t xml:space="preserve"> </w:t>
      </w:r>
      <w:r w:rsidR="00D00A3F">
        <w:t xml:space="preserve">is required to </w:t>
      </w:r>
      <w:r w:rsidR="008C2F97">
        <w:t xml:space="preserve">ensure that Australia’s industries of the future will have the people with the required knowledge, skills and capabilities that will ensure that businesses in these industries will have the capability to grow and prosper.   </w:t>
      </w:r>
    </w:p>
    <w:p w14:paraId="3F694C5A" w14:textId="73F61979" w:rsidR="00CF2D80" w:rsidRDefault="009C1A10" w:rsidP="009C1A10">
      <w:pPr>
        <w:pStyle w:val="Heading2"/>
        <w:numPr>
          <w:ilvl w:val="0"/>
          <w:numId w:val="31"/>
        </w:numPr>
      </w:pPr>
      <w:bookmarkStart w:id="10" w:name="_Toc163309821"/>
      <w:bookmarkStart w:id="11" w:name="_Toc163390115"/>
      <w:bookmarkStart w:id="12" w:name="_Toc163534498"/>
      <w:r>
        <w:t>Business e</w:t>
      </w:r>
      <w:r w:rsidR="007900D0">
        <w:t>ngagement in</w:t>
      </w:r>
      <w:r w:rsidR="00CF2D80">
        <w:t xml:space="preserve"> </w:t>
      </w:r>
      <w:r w:rsidR="007900D0">
        <w:t>i</w:t>
      </w:r>
      <w:r w:rsidR="00CF2D80" w:rsidRPr="00807BED">
        <w:t>nnovation districts, precincts</w:t>
      </w:r>
      <w:r w:rsidR="00CF2D80">
        <w:t>, and hubs</w:t>
      </w:r>
      <w:bookmarkEnd w:id="10"/>
      <w:bookmarkEnd w:id="11"/>
      <w:bookmarkEnd w:id="12"/>
    </w:p>
    <w:p w14:paraId="3E0C7F47" w14:textId="0B9D8CA0" w:rsidR="003D7EDB" w:rsidRDefault="00713A28" w:rsidP="003D7EDB">
      <w:r>
        <w:t xml:space="preserve">At the present time, innovation districts do not receive targeted financial support from the Commonwealth Government, although districts may tap into a range of urban and regional development funding programs. </w:t>
      </w:r>
    </w:p>
    <w:p w14:paraId="50FDEFAB" w14:textId="0F627F1E" w:rsidR="00556F94" w:rsidRDefault="00556F94" w:rsidP="00556F94">
      <w:r>
        <w:t xml:space="preserve">Moreover, State Government and private sector investments mix the R&amp;D objectives of participating higher education and public research organisations with the business models of property developers, the urban renewal and regeneration objectives of State and local governments, and the rhetorical technology visions of business and financial elites. </w:t>
      </w:r>
    </w:p>
    <w:p w14:paraId="6B4E04D6" w14:textId="714894BA" w:rsidR="00E17772" w:rsidRDefault="00713A28" w:rsidP="00D571E1">
      <w:r>
        <w:t xml:space="preserve">In the US, the </w:t>
      </w:r>
      <w:r w:rsidR="00E17772">
        <w:t>Biden administration has commenced an initiative to designate selected communities across the country as Regional Innovation and Technology Hubs (Tech Hubs).</w:t>
      </w:r>
      <w:r w:rsidR="00374882">
        <w:t xml:space="preserve"> </w:t>
      </w:r>
      <w:r w:rsidR="00E17772">
        <w:t xml:space="preserve"> Tech Hubs are intended to catalyse investment in technologies critical to economic growth, national security, and job creation and help communities</w:t>
      </w:r>
      <w:r w:rsidR="00E17772" w:rsidRPr="00E17772">
        <w:t xml:space="preserve"> become </w:t>
      </w:r>
      <w:r w:rsidR="00374882" w:rsidRPr="00E17772">
        <w:t>centres</w:t>
      </w:r>
      <w:r w:rsidR="00E17772" w:rsidRPr="00E17772">
        <w:t xml:space="preserve"> of innovation critical to American competitiveness. </w:t>
      </w:r>
    </w:p>
    <w:p w14:paraId="7B106F43" w14:textId="0628D198" w:rsidR="00D00A3F" w:rsidRDefault="00D00A3F" w:rsidP="00D571E1">
      <w:r>
        <w:t xml:space="preserve">The Australian Government </w:t>
      </w:r>
      <w:r w:rsidR="009661F8">
        <w:t xml:space="preserve">must </w:t>
      </w:r>
      <w:r>
        <w:t>designat</w:t>
      </w:r>
      <w:r w:rsidR="009661F8">
        <w:t xml:space="preserve">e and financially support the development of innovation districts and hubs to ensure that they support the development and growth of Australian industries in the future. </w:t>
      </w:r>
      <w:proofErr w:type="spellStart"/>
      <w:r w:rsidR="009661F8">
        <w:t>Tonsley</w:t>
      </w:r>
      <w:proofErr w:type="spellEnd"/>
      <w:r w:rsidR="009661F8">
        <w:t xml:space="preserve"> Park in South Australia is often held out as an exemplary case example, but there are other examples of good practice.  </w:t>
      </w:r>
    </w:p>
    <w:p w14:paraId="1374AF96" w14:textId="01ABEC8D" w:rsidR="0099575F" w:rsidRDefault="00A07FEC" w:rsidP="0099575F">
      <w:pPr>
        <w:pStyle w:val="Heading1"/>
      </w:pPr>
      <w:bookmarkStart w:id="13" w:name="_Toc163390116"/>
      <w:bookmarkStart w:id="14" w:name="_Toc163534499"/>
      <w:r>
        <w:t>A rigorous approach</w:t>
      </w:r>
      <w:bookmarkEnd w:id="13"/>
      <w:r w:rsidR="00081064">
        <w:t xml:space="preserve"> for adoption and implementation</w:t>
      </w:r>
      <w:bookmarkEnd w:id="14"/>
    </w:p>
    <w:p w14:paraId="6BFD5504" w14:textId="77777777" w:rsidR="000541F9" w:rsidRDefault="009661F8" w:rsidP="009661F8">
      <w:r>
        <w:t xml:space="preserve">it almost goes without saying that Australia requires a </w:t>
      </w:r>
      <w:r w:rsidRPr="009661F8">
        <w:rPr>
          <w:i/>
          <w:iCs/>
        </w:rPr>
        <w:t>National Business Research and Development Strategy and Action Plan</w:t>
      </w:r>
      <w:r>
        <w:t xml:space="preserve">. </w:t>
      </w:r>
    </w:p>
    <w:p w14:paraId="784A531B" w14:textId="54B2D760" w:rsidR="009661F8" w:rsidRDefault="009661F8" w:rsidP="009661F8">
      <w:r>
        <w:t xml:space="preserve">This should be orchestrated by the Prime Minister and the Minister for Industry and Science through the Australian National Science and Technology Council. It should not be outsourced to an independent Review. </w:t>
      </w:r>
    </w:p>
    <w:p w14:paraId="0F53B06C" w14:textId="75CDBE46" w:rsidR="00FC0451" w:rsidRDefault="00A07FEC" w:rsidP="00A07FEC">
      <w:r>
        <w:t>The development</w:t>
      </w:r>
      <w:r w:rsidR="009661F8">
        <w:t xml:space="preserve"> of the Strategy and Action Plan </w:t>
      </w:r>
      <w:r>
        <w:t>must involve rigorous analysis and testing of propositions</w:t>
      </w:r>
      <w:r w:rsidR="0007138A">
        <w:t xml:space="preserve"> not only in terms of their desirability but also in terms of their practicality and feasibility.  </w:t>
      </w:r>
    </w:p>
    <w:p w14:paraId="28B2AB6F" w14:textId="042859ED" w:rsidR="00FC0451" w:rsidRDefault="00FC0451" w:rsidP="00A07FEC">
      <w:r>
        <w:t xml:space="preserve">Many </w:t>
      </w:r>
      <w:r w:rsidR="0007138A">
        <w:t>previous reports on lifting business investment</w:t>
      </w:r>
      <w:r>
        <w:t xml:space="preserve"> have </w:t>
      </w:r>
      <w:r w:rsidR="0007138A">
        <w:t>tended to use the “wisdom of the crowd” through extended consultations</w:t>
      </w:r>
      <w:r w:rsidR="000541F9">
        <w:t xml:space="preserve"> and relied less on the knowledge contained in previous reports, understanding why they have not had an impact</w:t>
      </w:r>
      <w:r w:rsidR="009661F8">
        <w:t xml:space="preserve"> and the input of national and business development experts. </w:t>
      </w:r>
      <w:r>
        <w:t xml:space="preserve"> </w:t>
      </w:r>
    </w:p>
    <w:p w14:paraId="265206A3" w14:textId="6412203D" w:rsidR="00E518D8" w:rsidRPr="00A07FEC" w:rsidRDefault="009C1A10" w:rsidP="00E518D8">
      <w:r>
        <w:t>Very f</w:t>
      </w:r>
      <w:r w:rsidR="00E518D8">
        <w:t xml:space="preserve">ew recent reports have seriously addressed the FDI or global </w:t>
      </w:r>
      <w:r w:rsidR="000541F9">
        <w:t xml:space="preserve">R&amp;D </w:t>
      </w:r>
      <w:r w:rsidR="00E518D8">
        <w:t>sourcing issues. Recent studies of business R&amp;D investment and industry policy do not mention foreign direct investment at all</w:t>
      </w:r>
      <w:r w:rsidR="00E518D8">
        <w:rPr>
          <w:rStyle w:val="FootnoteReference"/>
        </w:rPr>
        <w:footnoteReference w:id="4"/>
      </w:r>
      <w:r w:rsidR="00E518D8">
        <w:t xml:space="preserve">. </w:t>
      </w:r>
    </w:p>
    <w:p w14:paraId="3F12E7CC" w14:textId="78C5BB64" w:rsidR="009C39CC" w:rsidRDefault="009C1A10" w:rsidP="00B15927">
      <w:r>
        <w:t xml:space="preserve">A team of officials and key stakeholders should support the </w:t>
      </w:r>
      <w:r w:rsidR="000541F9">
        <w:t>formulation of the Strategy and Action Plan rather than outsourcing it</w:t>
      </w:r>
      <w:r w:rsidR="00FC0451">
        <w:t xml:space="preserve"> to consultants. </w:t>
      </w:r>
      <w:r w:rsidR="009C39CC">
        <w:t xml:space="preserve"> </w:t>
      </w:r>
    </w:p>
    <w:p w14:paraId="46576CCF" w14:textId="607AE19A" w:rsidR="00A1095F" w:rsidRPr="00FD5143" w:rsidRDefault="00A1095F" w:rsidP="00A1095F">
      <w:pPr>
        <w:rPr>
          <w:vertAlign w:val="subscript"/>
          <w:lang w:eastAsia="en-GB"/>
        </w:rPr>
      </w:pPr>
      <w:r>
        <w:rPr>
          <w:lang w:eastAsia="en-GB"/>
        </w:rPr>
        <w:t xml:space="preserve"> </w:t>
      </w:r>
    </w:p>
    <w:p w14:paraId="4A1F5D96" w14:textId="77777777" w:rsidR="0099575F" w:rsidRPr="00B15927" w:rsidRDefault="0099575F" w:rsidP="00B15927"/>
    <w:p w14:paraId="29C32FC7" w14:textId="77777777" w:rsidR="00B15927" w:rsidRDefault="00B15927" w:rsidP="00155042"/>
    <w:sectPr w:rsidR="00B15927" w:rsidSect="00311066">
      <w:headerReference w:type="even" r:id="rId8"/>
      <w:headerReference w:type="default" r:id="rId9"/>
      <w:footerReference w:type="even" r:id="rId10"/>
      <w:footerReference w:type="default" r:id="rId11"/>
      <w:headerReference w:type="first" r:id="rId12"/>
      <w:footerReference w:type="first" r:id="rId13"/>
      <w:pgSz w:w="11901" w:h="16817" w:code="9"/>
      <w:pgMar w:top="1440" w:right="1440" w:bottom="1440" w:left="1440" w:header="93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64C1" w14:textId="77777777" w:rsidR="00311066" w:rsidRDefault="00311066" w:rsidP="0099575F">
      <w:pPr>
        <w:spacing w:before="0" w:after="0"/>
      </w:pPr>
      <w:r>
        <w:separator/>
      </w:r>
    </w:p>
  </w:endnote>
  <w:endnote w:type="continuationSeparator" w:id="0">
    <w:p w14:paraId="20265C4E" w14:textId="77777777" w:rsidR="00311066" w:rsidRDefault="00311066" w:rsidP="009957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645054"/>
      <w:docPartObj>
        <w:docPartGallery w:val="Page Numbers (Bottom of Page)"/>
        <w:docPartUnique/>
      </w:docPartObj>
    </w:sdtPr>
    <w:sdtEndPr>
      <w:rPr>
        <w:rStyle w:val="PageNumber"/>
      </w:rPr>
    </w:sdtEndPr>
    <w:sdtContent>
      <w:p w14:paraId="73E46205" w14:textId="32905FA1" w:rsidR="0099575F" w:rsidRDefault="0099575F" w:rsidP="00C724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4AAAC" w14:textId="77777777" w:rsidR="0099575F" w:rsidRDefault="0099575F" w:rsidP="00995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0099018"/>
      <w:docPartObj>
        <w:docPartGallery w:val="Page Numbers (Bottom of Page)"/>
        <w:docPartUnique/>
      </w:docPartObj>
    </w:sdtPr>
    <w:sdtEndPr>
      <w:rPr>
        <w:rStyle w:val="PageNumber"/>
      </w:rPr>
    </w:sdtEndPr>
    <w:sdtContent>
      <w:p w14:paraId="2F11AD56" w14:textId="0381011A" w:rsidR="0099575F" w:rsidRDefault="0099575F" w:rsidP="00C724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11C078" w14:textId="4F71D34C" w:rsidR="0099575F" w:rsidRDefault="00025983" w:rsidP="0099575F">
    <w:pPr>
      <w:pStyle w:val="Footer"/>
      <w:ind w:right="360"/>
    </w:pPr>
    <w:r>
      <w:t>© John H Howard,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0CD6" w14:textId="77777777" w:rsidR="00025983" w:rsidRDefault="00025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7F29" w14:textId="77777777" w:rsidR="00311066" w:rsidRDefault="00311066" w:rsidP="0099575F">
      <w:pPr>
        <w:spacing w:before="0" w:after="0"/>
      </w:pPr>
      <w:r>
        <w:separator/>
      </w:r>
    </w:p>
  </w:footnote>
  <w:footnote w:type="continuationSeparator" w:id="0">
    <w:p w14:paraId="5EE311D7" w14:textId="77777777" w:rsidR="00311066" w:rsidRDefault="00311066" w:rsidP="0099575F">
      <w:pPr>
        <w:spacing w:before="0" w:after="0"/>
      </w:pPr>
      <w:r>
        <w:continuationSeparator/>
      </w:r>
    </w:p>
  </w:footnote>
  <w:footnote w:id="1">
    <w:p w14:paraId="3D3B1629" w14:textId="2C908E32" w:rsidR="00D8411C" w:rsidRPr="00BE1988" w:rsidRDefault="00D8411C">
      <w:pPr>
        <w:pStyle w:val="FootnoteText"/>
        <w:rPr>
          <w:sz w:val="16"/>
          <w:szCs w:val="16"/>
        </w:rPr>
      </w:pPr>
      <w:r w:rsidRPr="00D8411C">
        <w:rPr>
          <w:rStyle w:val="FootnoteReference"/>
          <w:sz w:val="16"/>
          <w:szCs w:val="16"/>
        </w:rPr>
        <w:footnoteRef/>
      </w:r>
      <w:r w:rsidRPr="00D8411C">
        <w:rPr>
          <w:sz w:val="16"/>
          <w:szCs w:val="16"/>
        </w:rPr>
        <w:t xml:space="preserve"> </w:t>
      </w:r>
      <w:r w:rsidR="000541F9">
        <w:rPr>
          <w:sz w:val="16"/>
          <w:szCs w:val="16"/>
        </w:rPr>
        <w:t>Although there is no specific definition, the industries of the future are g</w:t>
      </w:r>
      <w:r w:rsidRPr="00D8411C">
        <w:rPr>
          <w:sz w:val="16"/>
          <w:szCs w:val="16"/>
        </w:rPr>
        <w:t xml:space="preserve">enerally identified as clean energy, advanced manufacturing, autonomous systems, quantum technologies, electric vehicle components, </w:t>
      </w:r>
      <w:r w:rsidRPr="00BE1988">
        <w:rPr>
          <w:sz w:val="16"/>
          <w:szCs w:val="16"/>
        </w:rPr>
        <w:t>battery manufacturing, and biomanufacturing.</w:t>
      </w:r>
      <w:r w:rsidR="000541F9">
        <w:rPr>
          <w:sz w:val="16"/>
          <w:szCs w:val="16"/>
        </w:rPr>
        <w:t xml:space="preserve"> The issues were discussed more fully in the 2020 UTS Occasional Paper, </w:t>
      </w:r>
      <w:hyperlink r:id="rId1" w:history="1">
        <w:r w:rsidR="000541F9" w:rsidRPr="000541F9">
          <w:rPr>
            <w:rStyle w:val="Hyperlink"/>
            <w:sz w:val="16"/>
            <w:szCs w:val="16"/>
          </w:rPr>
          <w:t>Challenges for Australian Research and Innovation</w:t>
        </w:r>
      </w:hyperlink>
      <w:r w:rsidR="000541F9">
        <w:rPr>
          <w:sz w:val="16"/>
          <w:szCs w:val="16"/>
        </w:rPr>
        <w:t xml:space="preserve">. </w:t>
      </w:r>
    </w:p>
  </w:footnote>
  <w:footnote w:id="2">
    <w:p w14:paraId="4535D0A7" w14:textId="3295DAB9" w:rsidR="00BE1988" w:rsidRPr="00BE1988" w:rsidRDefault="00BE1988">
      <w:pPr>
        <w:pStyle w:val="FootnoteText"/>
        <w:rPr>
          <w:sz w:val="16"/>
          <w:szCs w:val="16"/>
        </w:rPr>
      </w:pPr>
      <w:r w:rsidRPr="00BE1988">
        <w:rPr>
          <w:rStyle w:val="FootnoteReference"/>
          <w:sz w:val="16"/>
          <w:szCs w:val="16"/>
        </w:rPr>
        <w:footnoteRef/>
      </w:r>
      <w:r w:rsidRPr="00BE1988">
        <w:rPr>
          <w:sz w:val="16"/>
          <w:szCs w:val="16"/>
        </w:rPr>
        <w:t xml:space="preserve"> Would </w:t>
      </w:r>
      <w:r>
        <w:rPr>
          <w:sz w:val="16"/>
          <w:szCs w:val="16"/>
        </w:rPr>
        <w:t xml:space="preserve">cover </w:t>
      </w:r>
      <w:r w:rsidRPr="00BE1988">
        <w:rPr>
          <w:sz w:val="16"/>
          <w:szCs w:val="16"/>
        </w:rPr>
        <w:t>CSIRO, DST, ANSTO, Rural RDCs, and Medical Research Insti</w:t>
      </w:r>
      <w:r>
        <w:rPr>
          <w:sz w:val="16"/>
          <w:szCs w:val="16"/>
        </w:rPr>
        <w:t>tut</w:t>
      </w:r>
      <w:r w:rsidRPr="00BE1988">
        <w:rPr>
          <w:sz w:val="16"/>
          <w:szCs w:val="16"/>
        </w:rPr>
        <w:t xml:space="preserve">es. </w:t>
      </w:r>
    </w:p>
  </w:footnote>
  <w:footnote w:id="3">
    <w:p w14:paraId="1FD0A8E5" w14:textId="57AFCFC2" w:rsidR="0039120B" w:rsidRPr="00B00E87" w:rsidRDefault="0039120B" w:rsidP="0039120B">
      <w:pPr>
        <w:pStyle w:val="FootnoteText"/>
        <w:rPr>
          <w:sz w:val="16"/>
          <w:szCs w:val="16"/>
        </w:rPr>
      </w:pPr>
      <w:r w:rsidRPr="00B00E87">
        <w:rPr>
          <w:rStyle w:val="FootnoteReference"/>
          <w:sz w:val="16"/>
          <w:szCs w:val="16"/>
        </w:rPr>
        <w:footnoteRef/>
      </w:r>
      <w:r w:rsidRPr="00B00E87">
        <w:rPr>
          <w:sz w:val="16"/>
          <w:szCs w:val="16"/>
        </w:rPr>
        <w:t xml:space="preserve"> </w:t>
      </w:r>
      <w:r w:rsidRPr="0039120B">
        <w:rPr>
          <w:sz w:val="16"/>
          <w:szCs w:val="16"/>
        </w:rPr>
        <w:t xml:space="preserve">It is significant that CSIRO has recently purchased a sophisticated multi-metal 3D printer. </w:t>
      </w:r>
      <w:r>
        <w:rPr>
          <w:sz w:val="16"/>
          <w:szCs w:val="16"/>
        </w:rPr>
        <w:t xml:space="preserve">See </w:t>
      </w:r>
      <w:r w:rsidRPr="00B00E87">
        <w:rPr>
          <w:sz w:val="16"/>
          <w:szCs w:val="16"/>
        </w:rPr>
        <w:t xml:space="preserve">“First multi metal 3D printer in Australia to boost aerospace manufacturing”, </w:t>
      </w:r>
      <w:hyperlink r:id="rId2" w:history="1">
        <w:r w:rsidRPr="00B00E87">
          <w:rPr>
            <w:rStyle w:val="Hyperlink"/>
            <w:sz w:val="16"/>
            <w:szCs w:val="16"/>
          </w:rPr>
          <w:t>https://www.csiro.au/en/news/All/News/2024/March/First-multi-metal-3D-printer-in-Australia-to-boost-aerospace-manufacturing</w:t>
        </w:r>
      </w:hyperlink>
      <w:r w:rsidRPr="00B00E87">
        <w:rPr>
          <w:sz w:val="16"/>
          <w:szCs w:val="16"/>
        </w:rPr>
        <w:t xml:space="preserve"> </w:t>
      </w:r>
    </w:p>
  </w:footnote>
  <w:footnote w:id="4">
    <w:p w14:paraId="33D551EA" w14:textId="77777777" w:rsidR="00E518D8" w:rsidRPr="00E518D8" w:rsidRDefault="00E518D8" w:rsidP="00E518D8">
      <w:pPr>
        <w:pStyle w:val="FootnoteText"/>
        <w:rPr>
          <w:i/>
          <w:iCs/>
          <w:sz w:val="16"/>
          <w:szCs w:val="16"/>
        </w:rPr>
      </w:pPr>
      <w:r w:rsidRPr="00E518D8">
        <w:rPr>
          <w:rStyle w:val="FootnoteReference"/>
          <w:sz w:val="16"/>
          <w:szCs w:val="16"/>
        </w:rPr>
        <w:footnoteRef/>
      </w:r>
      <w:r w:rsidRPr="00E518D8">
        <w:rPr>
          <w:sz w:val="16"/>
          <w:szCs w:val="16"/>
        </w:rPr>
        <w:t xml:space="preserve"> Office of Industry, Innovation and Science, 2024.</w:t>
      </w:r>
      <w:r w:rsidRPr="00E518D8">
        <w:rPr>
          <w:i/>
          <w:iCs/>
          <w:sz w:val="16"/>
          <w:szCs w:val="16"/>
        </w:rPr>
        <w:t xml:space="preserve"> Barriers to Collaboration and</w:t>
      </w:r>
    </w:p>
    <w:p w14:paraId="19B4486A" w14:textId="77777777" w:rsidR="00E518D8" w:rsidRPr="004C1241" w:rsidRDefault="00E518D8" w:rsidP="00E518D8">
      <w:pPr>
        <w:pStyle w:val="FootnoteText"/>
      </w:pPr>
      <w:r w:rsidRPr="00E518D8">
        <w:rPr>
          <w:i/>
          <w:iCs/>
          <w:sz w:val="16"/>
          <w:szCs w:val="16"/>
        </w:rPr>
        <w:t>Commercialisation</w:t>
      </w:r>
      <w:r w:rsidRPr="00E518D8">
        <w:rPr>
          <w:sz w:val="16"/>
          <w:szCs w:val="16"/>
        </w:rPr>
        <w:t xml:space="preserve">; Centre for Policy Development, 2024. </w:t>
      </w:r>
      <w:r w:rsidRPr="00E518D8">
        <w:rPr>
          <w:i/>
          <w:iCs/>
          <w:sz w:val="16"/>
          <w:szCs w:val="16"/>
        </w:rPr>
        <w:t>Setting Direction: A purposeful approach to modern industry policy</w:t>
      </w:r>
      <w:r w:rsidRPr="00E518D8">
        <w:rPr>
          <w:sz w:val="16"/>
          <w:szCs w:val="16"/>
        </w:rPr>
        <w:t xml:space="preserve">; and Office of Industry, Innovation and Science, 2019. </w:t>
      </w:r>
      <w:r w:rsidRPr="00E518D8">
        <w:rPr>
          <w:i/>
          <w:iCs/>
          <w:sz w:val="16"/>
          <w:szCs w:val="16"/>
        </w:rPr>
        <w:t>Policy directions to increase business investment in Innovation.</w:t>
      </w:r>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0BFF" w14:textId="77777777" w:rsidR="00025983" w:rsidRDefault="0002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7947" w14:textId="77777777" w:rsidR="00025983" w:rsidRDefault="0002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15B8" w14:textId="77777777" w:rsidR="00025983" w:rsidRDefault="0002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447"/>
    <w:multiLevelType w:val="hybridMultilevel"/>
    <w:tmpl w:val="4A644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9814F4"/>
    <w:multiLevelType w:val="hybridMultilevel"/>
    <w:tmpl w:val="ECD439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355C00"/>
    <w:multiLevelType w:val="hybridMultilevel"/>
    <w:tmpl w:val="8E084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D1830"/>
    <w:multiLevelType w:val="hybridMultilevel"/>
    <w:tmpl w:val="5FEEC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563EA1"/>
    <w:multiLevelType w:val="hybridMultilevel"/>
    <w:tmpl w:val="C6AAF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4728B"/>
    <w:multiLevelType w:val="hybridMultilevel"/>
    <w:tmpl w:val="FAA04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036AA4"/>
    <w:multiLevelType w:val="hybridMultilevel"/>
    <w:tmpl w:val="E1DC5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550C9C"/>
    <w:multiLevelType w:val="hybridMultilevel"/>
    <w:tmpl w:val="B9884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4B1CAB"/>
    <w:multiLevelType w:val="hybridMultilevel"/>
    <w:tmpl w:val="26C232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8539E"/>
    <w:multiLevelType w:val="hybridMultilevel"/>
    <w:tmpl w:val="1546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537097"/>
    <w:multiLevelType w:val="hybridMultilevel"/>
    <w:tmpl w:val="98AED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A93AF7"/>
    <w:multiLevelType w:val="multilevel"/>
    <w:tmpl w:val="1DD84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E1666C"/>
    <w:multiLevelType w:val="hybridMultilevel"/>
    <w:tmpl w:val="277C1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D2754E"/>
    <w:multiLevelType w:val="hybridMultilevel"/>
    <w:tmpl w:val="1E9A4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9075EE"/>
    <w:multiLevelType w:val="hybridMultilevel"/>
    <w:tmpl w:val="3174B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B23D88"/>
    <w:multiLevelType w:val="multilevel"/>
    <w:tmpl w:val="EF9E3568"/>
    <w:lvl w:ilvl="0">
      <w:start w:val="1"/>
      <w:numFmt w:val="decimal"/>
      <w:lvlText w:val="%1"/>
      <w:lvlJc w:val="left"/>
      <w:pPr>
        <w:ind w:left="999" w:hanging="432"/>
      </w:pPr>
    </w:lvl>
    <w:lvl w:ilvl="1">
      <w:start w:val="1"/>
      <w:numFmt w:val="decimal"/>
      <w:lvlText w:val="%1.%2"/>
      <w:lvlJc w:val="left"/>
      <w:pPr>
        <w:ind w:left="1143" w:hanging="576"/>
      </w:pPr>
    </w:lvl>
    <w:lvl w:ilvl="2">
      <w:start w:val="1"/>
      <w:numFmt w:val="decimal"/>
      <w:lvlText w:val="%1.%2.%3"/>
      <w:lvlJc w:val="left"/>
      <w:pPr>
        <w:ind w:left="1287" w:hanging="720"/>
      </w:pPr>
    </w:lvl>
    <w:lvl w:ilvl="3">
      <w:start w:val="1"/>
      <w:numFmt w:val="decimal"/>
      <w:lvlText w:val="%1.%2.%3.%4"/>
      <w:lvlJc w:val="left"/>
      <w:pPr>
        <w:ind w:left="1431" w:hanging="864"/>
      </w:pPr>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6" w15:restartNumberingAfterBreak="0">
    <w:nsid w:val="603D6196"/>
    <w:multiLevelType w:val="multilevel"/>
    <w:tmpl w:val="5680E2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4ED14C2"/>
    <w:multiLevelType w:val="hybridMultilevel"/>
    <w:tmpl w:val="EDDE10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A21E02"/>
    <w:multiLevelType w:val="hybridMultilevel"/>
    <w:tmpl w:val="EE888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702375"/>
    <w:multiLevelType w:val="hybridMultilevel"/>
    <w:tmpl w:val="80D4B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3A13D7"/>
    <w:multiLevelType w:val="hybridMultilevel"/>
    <w:tmpl w:val="88C8E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630D76"/>
    <w:multiLevelType w:val="multilevel"/>
    <w:tmpl w:val="0FB2A10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F930358"/>
    <w:multiLevelType w:val="hybridMultilevel"/>
    <w:tmpl w:val="7F10EB4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3016472">
    <w:abstractNumId w:val="21"/>
  </w:num>
  <w:num w:numId="2" w16cid:durableId="486290252">
    <w:abstractNumId w:val="11"/>
  </w:num>
  <w:num w:numId="3" w16cid:durableId="511190362">
    <w:abstractNumId w:val="11"/>
  </w:num>
  <w:num w:numId="4" w16cid:durableId="1190997357">
    <w:abstractNumId w:val="21"/>
  </w:num>
  <w:num w:numId="5" w16cid:durableId="1112016238">
    <w:abstractNumId w:val="21"/>
  </w:num>
  <w:num w:numId="6" w16cid:durableId="1570579119">
    <w:abstractNumId w:val="16"/>
  </w:num>
  <w:num w:numId="7" w16cid:durableId="443889726">
    <w:abstractNumId w:val="16"/>
  </w:num>
  <w:num w:numId="8" w16cid:durableId="1753966728">
    <w:abstractNumId w:val="15"/>
  </w:num>
  <w:num w:numId="9" w16cid:durableId="516122912">
    <w:abstractNumId w:val="15"/>
  </w:num>
  <w:num w:numId="10" w16cid:durableId="1543521776">
    <w:abstractNumId w:val="21"/>
  </w:num>
  <w:num w:numId="11" w16cid:durableId="1046681834">
    <w:abstractNumId w:val="21"/>
  </w:num>
  <w:num w:numId="12" w16cid:durableId="1924754869">
    <w:abstractNumId w:val="21"/>
  </w:num>
  <w:num w:numId="13" w16cid:durableId="1642805571">
    <w:abstractNumId w:val="19"/>
  </w:num>
  <w:num w:numId="14" w16cid:durableId="1256203632">
    <w:abstractNumId w:val="7"/>
  </w:num>
  <w:num w:numId="15" w16cid:durableId="1180001342">
    <w:abstractNumId w:val="14"/>
  </w:num>
  <w:num w:numId="16" w16cid:durableId="1802458875">
    <w:abstractNumId w:val="20"/>
  </w:num>
  <w:num w:numId="17" w16cid:durableId="1958755262">
    <w:abstractNumId w:val="3"/>
  </w:num>
  <w:num w:numId="18" w16cid:durableId="1938828175">
    <w:abstractNumId w:val="13"/>
  </w:num>
  <w:num w:numId="19" w16cid:durableId="414934327">
    <w:abstractNumId w:val="10"/>
  </w:num>
  <w:num w:numId="20" w16cid:durableId="456339152">
    <w:abstractNumId w:val="8"/>
  </w:num>
  <w:num w:numId="21" w16cid:durableId="766194675">
    <w:abstractNumId w:val="9"/>
  </w:num>
  <w:num w:numId="22" w16cid:durableId="1604025519">
    <w:abstractNumId w:val="6"/>
  </w:num>
  <w:num w:numId="23" w16cid:durableId="1111171226">
    <w:abstractNumId w:val="18"/>
  </w:num>
  <w:num w:numId="24" w16cid:durableId="1392188751">
    <w:abstractNumId w:val="4"/>
  </w:num>
  <w:num w:numId="25" w16cid:durableId="1882010615">
    <w:abstractNumId w:val="12"/>
  </w:num>
  <w:num w:numId="26" w16cid:durableId="1283270084">
    <w:abstractNumId w:val="2"/>
  </w:num>
  <w:num w:numId="27" w16cid:durableId="731469392">
    <w:abstractNumId w:val="0"/>
  </w:num>
  <w:num w:numId="28" w16cid:durableId="1911499970">
    <w:abstractNumId w:val="22"/>
  </w:num>
  <w:num w:numId="29" w16cid:durableId="1319723565">
    <w:abstractNumId w:val="5"/>
  </w:num>
  <w:num w:numId="30" w16cid:durableId="2060787400">
    <w:abstractNumId w:val="1"/>
  </w:num>
  <w:num w:numId="31" w16cid:durableId="10458303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7"/>
    <w:rsid w:val="000014DF"/>
    <w:rsid w:val="00002EB3"/>
    <w:rsid w:val="000241DF"/>
    <w:rsid w:val="00025983"/>
    <w:rsid w:val="0002664C"/>
    <w:rsid w:val="0004718D"/>
    <w:rsid w:val="000504B3"/>
    <w:rsid w:val="000541F9"/>
    <w:rsid w:val="00060E82"/>
    <w:rsid w:val="00061538"/>
    <w:rsid w:val="00061691"/>
    <w:rsid w:val="00062CE7"/>
    <w:rsid w:val="000646CF"/>
    <w:rsid w:val="000661CB"/>
    <w:rsid w:val="0007138A"/>
    <w:rsid w:val="00081064"/>
    <w:rsid w:val="0008445D"/>
    <w:rsid w:val="0008467A"/>
    <w:rsid w:val="00085315"/>
    <w:rsid w:val="0008790C"/>
    <w:rsid w:val="00091ED3"/>
    <w:rsid w:val="00097DB9"/>
    <w:rsid w:val="000A224F"/>
    <w:rsid w:val="000B4713"/>
    <w:rsid w:val="000B6307"/>
    <w:rsid w:val="000C46F4"/>
    <w:rsid w:val="000C75E9"/>
    <w:rsid w:val="000D00BE"/>
    <w:rsid w:val="000D692F"/>
    <w:rsid w:val="000F12D8"/>
    <w:rsid w:val="000F1BF3"/>
    <w:rsid w:val="000F2190"/>
    <w:rsid w:val="00120C04"/>
    <w:rsid w:val="00124E08"/>
    <w:rsid w:val="00130DC6"/>
    <w:rsid w:val="001313CC"/>
    <w:rsid w:val="001318F8"/>
    <w:rsid w:val="0013290F"/>
    <w:rsid w:val="0014710A"/>
    <w:rsid w:val="0015386F"/>
    <w:rsid w:val="00155042"/>
    <w:rsid w:val="00160CFA"/>
    <w:rsid w:val="00162793"/>
    <w:rsid w:val="0016325D"/>
    <w:rsid w:val="00163AC6"/>
    <w:rsid w:val="00171FE5"/>
    <w:rsid w:val="00186CC0"/>
    <w:rsid w:val="00187EC8"/>
    <w:rsid w:val="0019182A"/>
    <w:rsid w:val="00192FF8"/>
    <w:rsid w:val="001B5959"/>
    <w:rsid w:val="001C2A41"/>
    <w:rsid w:val="001E1CAF"/>
    <w:rsid w:val="001F32BF"/>
    <w:rsid w:val="001F7377"/>
    <w:rsid w:val="00200C2E"/>
    <w:rsid w:val="00207EB8"/>
    <w:rsid w:val="00215AE9"/>
    <w:rsid w:val="00220AB8"/>
    <w:rsid w:val="002246E7"/>
    <w:rsid w:val="00234457"/>
    <w:rsid w:val="00242216"/>
    <w:rsid w:val="00253AB0"/>
    <w:rsid w:val="00256891"/>
    <w:rsid w:val="002663EA"/>
    <w:rsid w:val="00267B16"/>
    <w:rsid w:val="00273EE7"/>
    <w:rsid w:val="0027475D"/>
    <w:rsid w:val="0027538F"/>
    <w:rsid w:val="002927A5"/>
    <w:rsid w:val="00296D2F"/>
    <w:rsid w:val="002971C7"/>
    <w:rsid w:val="002A3B8E"/>
    <w:rsid w:val="002B2256"/>
    <w:rsid w:val="002B5216"/>
    <w:rsid w:val="002C09B2"/>
    <w:rsid w:val="002C2F63"/>
    <w:rsid w:val="002D70E4"/>
    <w:rsid w:val="002D718E"/>
    <w:rsid w:val="002E64E5"/>
    <w:rsid w:val="00311066"/>
    <w:rsid w:val="003167E6"/>
    <w:rsid w:val="003203A3"/>
    <w:rsid w:val="003241F4"/>
    <w:rsid w:val="003249E9"/>
    <w:rsid w:val="00327F85"/>
    <w:rsid w:val="003321CE"/>
    <w:rsid w:val="00333979"/>
    <w:rsid w:val="0034006D"/>
    <w:rsid w:val="00347818"/>
    <w:rsid w:val="00347F77"/>
    <w:rsid w:val="0035362F"/>
    <w:rsid w:val="003541CC"/>
    <w:rsid w:val="00363C94"/>
    <w:rsid w:val="00370573"/>
    <w:rsid w:val="003723CD"/>
    <w:rsid w:val="00374882"/>
    <w:rsid w:val="00380FFD"/>
    <w:rsid w:val="00381F9E"/>
    <w:rsid w:val="00383B9B"/>
    <w:rsid w:val="00384B8A"/>
    <w:rsid w:val="00384C92"/>
    <w:rsid w:val="003869D7"/>
    <w:rsid w:val="0039120B"/>
    <w:rsid w:val="003A12BC"/>
    <w:rsid w:val="003A1DA2"/>
    <w:rsid w:val="003A3EF1"/>
    <w:rsid w:val="003C3B0B"/>
    <w:rsid w:val="003D7EDB"/>
    <w:rsid w:val="003E128C"/>
    <w:rsid w:val="003F06DE"/>
    <w:rsid w:val="003F4E02"/>
    <w:rsid w:val="00401B16"/>
    <w:rsid w:val="00411F81"/>
    <w:rsid w:val="0041532E"/>
    <w:rsid w:val="00420150"/>
    <w:rsid w:val="004342FC"/>
    <w:rsid w:val="00435E14"/>
    <w:rsid w:val="00437105"/>
    <w:rsid w:val="0045237D"/>
    <w:rsid w:val="00453E4A"/>
    <w:rsid w:val="004658A6"/>
    <w:rsid w:val="00466834"/>
    <w:rsid w:val="00492BE0"/>
    <w:rsid w:val="0049620C"/>
    <w:rsid w:val="004A2344"/>
    <w:rsid w:val="004A458E"/>
    <w:rsid w:val="004A5B15"/>
    <w:rsid w:val="004B5578"/>
    <w:rsid w:val="004B73EA"/>
    <w:rsid w:val="004C1241"/>
    <w:rsid w:val="004C41E7"/>
    <w:rsid w:val="004C6621"/>
    <w:rsid w:val="004D0064"/>
    <w:rsid w:val="004D15C5"/>
    <w:rsid w:val="004D1AE7"/>
    <w:rsid w:val="004D766E"/>
    <w:rsid w:val="004E3A02"/>
    <w:rsid w:val="004F50F2"/>
    <w:rsid w:val="004F6D58"/>
    <w:rsid w:val="004F73EE"/>
    <w:rsid w:val="0052213D"/>
    <w:rsid w:val="0052755E"/>
    <w:rsid w:val="00545C46"/>
    <w:rsid w:val="0055125F"/>
    <w:rsid w:val="005551D0"/>
    <w:rsid w:val="00556F94"/>
    <w:rsid w:val="0056026D"/>
    <w:rsid w:val="00575B4D"/>
    <w:rsid w:val="0057745B"/>
    <w:rsid w:val="0059200D"/>
    <w:rsid w:val="00596920"/>
    <w:rsid w:val="00597336"/>
    <w:rsid w:val="00597CB1"/>
    <w:rsid w:val="005A4ECD"/>
    <w:rsid w:val="005A5D21"/>
    <w:rsid w:val="005A6C4B"/>
    <w:rsid w:val="005B12D7"/>
    <w:rsid w:val="005C2B63"/>
    <w:rsid w:val="005D6987"/>
    <w:rsid w:val="005E0AC5"/>
    <w:rsid w:val="005E6497"/>
    <w:rsid w:val="005F01EE"/>
    <w:rsid w:val="005F336C"/>
    <w:rsid w:val="005F4897"/>
    <w:rsid w:val="00600E55"/>
    <w:rsid w:val="00603D74"/>
    <w:rsid w:val="00607596"/>
    <w:rsid w:val="006103C1"/>
    <w:rsid w:val="00611BAD"/>
    <w:rsid w:val="00612BD6"/>
    <w:rsid w:val="00620269"/>
    <w:rsid w:val="00625140"/>
    <w:rsid w:val="00627C06"/>
    <w:rsid w:val="0064764D"/>
    <w:rsid w:val="00651F5C"/>
    <w:rsid w:val="00654FA1"/>
    <w:rsid w:val="00655F68"/>
    <w:rsid w:val="00656535"/>
    <w:rsid w:val="00660675"/>
    <w:rsid w:val="00666C1E"/>
    <w:rsid w:val="0067283F"/>
    <w:rsid w:val="00681547"/>
    <w:rsid w:val="006830E7"/>
    <w:rsid w:val="006A76D2"/>
    <w:rsid w:val="006C1F09"/>
    <w:rsid w:val="006C6CBD"/>
    <w:rsid w:val="006D09AE"/>
    <w:rsid w:val="006E1F10"/>
    <w:rsid w:val="006E4F47"/>
    <w:rsid w:val="006F0751"/>
    <w:rsid w:val="006F62C1"/>
    <w:rsid w:val="006F7DB4"/>
    <w:rsid w:val="00701A5C"/>
    <w:rsid w:val="0070556F"/>
    <w:rsid w:val="00713A28"/>
    <w:rsid w:val="00716C4A"/>
    <w:rsid w:val="00720E18"/>
    <w:rsid w:val="007356C7"/>
    <w:rsid w:val="00741EBD"/>
    <w:rsid w:val="007662FF"/>
    <w:rsid w:val="0078101A"/>
    <w:rsid w:val="0078438E"/>
    <w:rsid w:val="00787E9C"/>
    <w:rsid w:val="007900D0"/>
    <w:rsid w:val="007B2AA8"/>
    <w:rsid w:val="007C5030"/>
    <w:rsid w:val="007E1A5D"/>
    <w:rsid w:val="007F08B1"/>
    <w:rsid w:val="007F239B"/>
    <w:rsid w:val="007F4D38"/>
    <w:rsid w:val="008079A0"/>
    <w:rsid w:val="00807BED"/>
    <w:rsid w:val="00815B72"/>
    <w:rsid w:val="00817309"/>
    <w:rsid w:val="008209BD"/>
    <w:rsid w:val="008269AE"/>
    <w:rsid w:val="00834DED"/>
    <w:rsid w:val="00842EE4"/>
    <w:rsid w:val="0084660C"/>
    <w:rsid w:val="0085237A"/>
    <w:rsid w:val="00853BAE"/>
    <w:rsid w:val="00881A1A"/>
    <w:rsid w:val="00885DAE"/>
    <w:rsid w:val="008A2E10"/>
    <w:rsid w:val="008A3EBC"/>
    <w:rsid w:val="008A637B"/>
    <w:rsid w:val="008B5B19"/>
    <w:rsid w:val="008B6D52"/>
    <w:rsid w:val="008B78A0"/>
    <w:rsid w:val="008C11F4"/>
    <w:rsid w:val="008C2F97"/>
    <w:rsid w:val="008D15AE"/>
    <w:rsid w:val="008D4950"/>
    <w:rsid w:val="008E7C9F"/>
    <w:rsid w:val="008F7110"/>
    <w:rsid w:val="009064FA"/>
    <w:rsid w:val="00912119"/>
    <w:rsid w:val="00914F4D"/>
    <w:rsid w:val="00916A90"/>
    <w:rsid w:val="00924FD6"/>
    <w:rsid w:val="00925FC8"/>
    <w:rsid w:val="009307EB"/>
    <w:rsid w:val="0093195C"/>
    <w:rsid w:val="009327E2"/>
    <w:rsid w:val="009333E7"/>
    <w:rsid w:val="00933881"/>
    <w:rsid w:val="00933BDA"/>
    <w:rsid w:val="0094069E"/>
    <w:rsid w:val="00941C1E"/>
    <w:rsid w:val="0094370A"/>
    <w:rsid w:val="00951D90"/>
    <w:rsid w:val="0096060F"/>
    <w:rsid w:val="009661F8"/>
    <w:rsid w:val="00966A17"/>
    <w:rsid w:val="00971502"/>
    <w:rsid w:val="0099575F"/>
    <w:rsid w:val="009B15BE"/>
    <w:rsid w:val="009B54F2"/>
    <w:rsid w:val="009B6093"/>
    <w:rsid w:val="009C1A10"/>
    <w:rsid w:val="009C39CC"/>
    <w:rsid w:val="009C44E3"/>
    <w:rsid w:val="009D2BC4"/>
    <w:rsid w:val="009E29A9"/>
    <w:rsid w:val="00A025A8"/>
    <w:rsid w:val="00A07FEC"/>
    <w:rsid w:val="00A1095F"/>
    <w:rsid w:val="00A16890"/>
    <w:rsid w:val="00A21D4D"/>
    <w:rsid w:val="00A26504"/>
    <w:rsid w:val="00A31151"/>
    <w:rsid w:val="00A37326"/>
    <w:rsid w:val="00A425B6"/>
    <w:rsid w:val="00A431CF"/>
    <w:rsid w:val="00A44355"/>
    <w:rsid w:val="00A56A9D"/>
    <w:rsid w:val="00A62A99"/>
    <w:rsid w:val="00A67EAF"/>
    <w:rsid w:val="00A731FD"/>
    <w:rsid w:val="00A8027C"/>
    <w:rsid w:val="00A83BF5"/>
    <w:rsid w:val="00A86C5D"/>
    <w:rsid w:val="00AA3A8B"/>
    <w:rsid w:val="00AA7E7F"/>
    <w:rsid w:val="00AC43FA"/>
    <w:rsid w:val="00AC69B6"/>
    <w:rsid w:val="00AD1BC1"/>
    <w:rsid w:val="00AD76FD"/>
    <w:rsid w:val="00AE0790"/>
    <w:rsid w:val="00AE1C96"/>
    <w:rsid w:val="00B00069"/>
    <w:rsid w:val="00B05115"/>
    <w:rsid w:val="00B06B9A"/>
    <w:rsid w:val="00B15927"/>
    <w:rsid w:val="00B168FA"/>
    <w:rsid w:val="00B22F7E"/>
    <w:rsid w:val="00B235C1"/>
    <w:rsid w:val="00B252D4"/>
    <w:rsid w:val="00B272F0"/>
    <w:rsid w:val="00B3004B"/>
    <w:rsid w:val="00B7285C"/>
    <w:rsid w:val="00B77448"/>
    <w:rsid w:val="00B779B7"/>
    <w:rsid w:val="00B81D1D"/>
    <w:rsid w:val="00B90E41"/>
    <w:rsid w:val="00B92C8C"/>
    <w:rsid w:val="00B93900"/>
    <w:rsid w:val="00B94245"/>
    <w:rsid w:val="00BA02BF"/>
    <w:rsid w:val="00BB05A8"/>
    <w:rsid w:val="00BB25D6"/>
    <w:rsid w:val="00BB5B53"/>
    <w:rsid w:val="00BD568E"/>
    <w:rsid w:val="00BE0D76"/>
    <w:rsid w:val="00BE1988"/>
    <w:rsid w:val="00BF016C"/>
    <w:rsid w:val="00BF3AAC"/>
    <w:rsid w:val="00BF65AD"/>
    <w:rsid w:val="00BF6887"/>
    <w:rsid w:val="00C00675"/>
    <w:rsid w:val="00C03949"/>
    <w:rsid w:val="00C04CE7"/>
    <w:rsid w:val="00C054D1"/>
    <w:rsid w:val="00C1385C"/>
    <w:rsid w:val="00C2728F"/>
    <w:rsid w:val="00C30431"/>
    <w:rsid w:val="00C351FB"/>
    <w:rsid w:val="00C55A2F"/>
    <w:rsid w:val="00C600BE"/>
    <w:rsid w:val="00C60DEF"/>
    <w:rsid w:val="00C631D2"/>
    <w:rsid w:val="00C77061"/>
    <w:rsid w:val="00C86EF6"/>
    <w:rsid w:val="00CA4755"/>
    <w:rsid w:val="00CC0586"/>
    <w:rsid w:val="00CC416F"/>
    <w:rsid w:val="00CD13F9"/>
    <w:rsid w:val="00CD77CE"/>
    <w:rsid w:val="00CF14F8"/>
    <w:rsid w:val="00CF2B8E"/>
    <w:rsid w:val="00CF2D80"/>
    <w:rsid w:val="00CF3585"/>
    <w:rsid w:val="00D00A3F"/>
    <w:rsid w:val="00D02661"/>
    <w:rsid w:val="00D200A7"/>
    <w:rsid w:val="00D339C8"/>
    <w:rsid w:val="00D43FD7"/>
    <w:rsid w:val="00D571E1"/>
    <w:rsid w:val="00D61F75"/>
    <w:rsid w:val="00D6644D"/>
    <w:rsid w:val="00D812ED"/>
    <w:rsid w:val="00D8411C"/>
    <w:rsid w:val="00D86518"/>
    <w:rsid w:val="00DB0BFD"/>
    <w:rsid w:val="00DD1882"/>
    <w:rsid w:val="00DD3A49"/>
    <w:rsid w:val="00DD52C8"/>
    <w:rsid w:val="00DE0331"/>
    <w:rsid w:val="00DF5736"/>
    <w:rsid w:val="00DF5D39"/>
    <w:rsid w:val="00DF6A12"/>
    <w:rsid w:val="00E13A44"/>
    <w:rsid w:val="00E17772"/>
    <w:rsid w:val="00E200F9"/>
    <w:rsid w:val="00E333FA"/>
    <w:rsid w:val="00E518D8"/>
    <w:rsid w:val="00E51C8A"/>
    <w:rsid w:val="00E770D5"/>
    <w:rsid w:val="00EA09DA"/>
    <w:rsid w:val="00EA1EE2"/>
    <w:rsid w:val="00EA4C7E"/>
    <w:rsid w:val="00EA59E4"/>
    <w:rsid w:val="00EB3F5B"/>
    <w:rsid w:val="00EB756C"/>
    <w:rsid w:val="00EC04A9"/>
    <w:rsid w:val="00ED045E"/>
    <w:rsid w:val="00ED23A1"/>
    <w:rsid w:val="00ED345C"/>
    <w:rsid w:val="00ED445B"/>
    <w:rsid w:val="00EE1AB5"/>
    <w:rsid w:val="00EE73EA"/>
    <w:rsid w:val="00F06746"/>
    <w:rsid w:val="00F141AB"/>
    <w:rsid w:val="00F21A21"/>
    <w:rsid w:val="00F341C8"/>
    <w:rsid w:val="00F37B6C"/>
    <w:rsid w:val="00F402D9"/>
    <w:rsid w:val="00F4107D"/>
    <w:rsid w:val="00F55123"/>
    <w:rsid w:val="00F61737"/>
    <w:rsid w:val="00F65C6D"/>
    <w:rsid w:val="00F81222"/>
    <w:rsid w:val="00F909DB"/>
    <w:rsid w:val="00F91B0D"/>
    <w:rsid w:val="00FA0AEA"/>
    <w:rsid w:val="00FC0451"/>
    <w:rsid w:val="00FC5036"/>
    <w:rsid w:val="00FD093B"/>
    <w:rsid w:val="00FD5143"/>
    <w:rsid w:val="00FE281D"/>
    <w:rsid w:val="00FE6FBD"/>
    <w:rsid w:val="00FF2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01A030"/>
  <w15:chartTrackingRefBased/>
  <w15:docId w15:val="{60F54123-6166-F440-A9FE-3C8DE9EC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47"/>
    <w:pPr>
      <w:spacing w:before="120" w:after="120"/>
    </w:pPr>
    <w:rPr>
      <w:sz w:val="22"/>
    </w:rPr>
  </w:style>
  <w:style w:type="paragraph" w:styleId="Heading1">
    <w:name w:val="heading 1"/>
    <w:basedOn w:val="Normal"/>
    <w:next w:val="Normal"/>
    <w:link w:val="Heading1Char"/>
    <w:uiPriority w:val="9"/>
    <w:qFormat/>
    <w:rsid w:val="000C75E9"/>
    <w:pPr>
      <w:keepNext/>
      <w:keepLines/>
      <w:spacing w:before="240" w:after="0"/>
      <w:outlineLvl w:val="0"/>
    </w:pPr>
    <w:rPr>
      <w:rFonts w:eastAsiaTheme="majorEastAsia" w:cstheme="majorBidi"/>
      <w:b/>
      <w:color w:val="0F4761" w:themeColor="accent1" w:themeShade="BF"/>
      <w:sz w:val="28"/>
      <w:szCs w:val="32"/>
    </w:rPr>
  </w:style>
  <w:style w:type="paragraph" w:styleId="Heading2">
    <w:name w:val="heading 2"/>
    <w:basedOn w:val="Normal"/>
    <w:next w:val="Normal"/>
    <w:link w:val="Heading2Char"/>
    <w:uiPriority w:val="9"/>
    <w:unhideWhenUsed/>
    <w:qFormat/>
    <w:rsid w:val="000C75E9"/>
    <w:pPr>
      <w:keepNext/>
      <w:keepLines/>
      <w:spacing w:before="240"/>
      <w:outlineLvl w:val="1"/>
    </w:pPr>
    <w:rPr>
      <w:rFonts w:eastAsiaTheme="majorEastAsia" w:cstheme="majorBidi"/>
      <w:b/>
      <w:color w:val="0F4761" w:themeColor="accent1" w:themeShade="BF"/>
      <w:sz w:val="24"/>
      <w:szCs w:val="26"/>
    </w:rPr>
  </w:style>
  <w:style w:type="paragraph" w:styleId="Heading3">
    <w:name w:val="heading 3"/>
    <w:basedOn w:val="Normal"/>
    <w:next w:val="Normal"/>
    <w:link w:val="Heading3Char"/>
    <w:uiPriority w:val="9"/>
    <w:unhideWhenUsed/>
    <w:qFormat/>
    <w:rsid w:val="004F50F2"/>
    <w:pPr>
      <w:keepNext/>
      <w:keepLines/>
      <w:outlineLvl w:val="2"/>
    </w:pPr>
    <w:rPr>
      <w:rFonts w:eastAsiaTheme="majorEastAsia" w:cstheme="majorBidi"/>
      <w:b/>
      <w:i/>
      <w:color w:val="0A2F40" w:themeColor="accent1" w:themeShade="7F"/>
    </w:rPr>
  </w:style>
  <w:style w:type="paragraph" w:styleId="Heading4">
    <w:name w:val="heading 4"/>
    <w:basedOn w:val="Normal"/>
    <w:next w:val="Normal"/>
    <w:link w:val="Heading4Char"/>
    <w:uiPriority w:val="9"/>
    <w:unhideWhenUsed/>
    <w:qFormat/>
    <w:rsid w:val="00EA1EE2"/>
    <w:pPr>
      <w:keepNext/>
      <w:keepLines/>
      <w:outlineLvl w:val="3"/>
    </w:pPr>
    <w:rPr>
      <w:rFonts w:eastAsiaTheme="majorEastAsia" w:cstheme="majorBidi"/>
      <w:b/>
      <w:i/>
      <w:iCs/>
      <w:color w:val="0F4761" w:themeColor="accent1" w:themeShade="BF"/>
    </w:rPr>
  </w:style>
  <w:style w:type="paragraph" w:styleId="Heading5">
    <w:name w:val="heading 5"/>
    <w:basedOn w:val="Normal"/>
    <w:next w:val="Normal"/>
    <w:link w:val="Heading5Char"/>
    <w:uiPriority w:val="9"/>
    <w:semiHidden/>
    <w:unhideWhenUsed/>
    <w:qFormat/>
    <w:rsid w:val="006E4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F47"/>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F47"/>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F65AD"/>
    <w:pPr>
      <w:jc w:val="center"/>
    </w:pPr>
    <w:rPr>
      <w:b/>
      <w:iCs/>
      <w:color w:val="0E2841" w:themeColor="text2"/>
      <w:szCs w:val="18"/>
    </w:rPr>
  </w:style>
  <w:style w:type="character" w:customStyle="1" w:styleId="Heading1Char">
    <w:name w:val="Heading 1 Char"/>
    <w:basedOn w:val="DefaultParagraphFont"/>
    <w:link w:val="Heading1"/>
    <w:uiPriority w:val="9"/>
    <w:rsid w:val="000C75E9"/>
    <w:rPr>
      <w:rFonts w:eastAsiaTheme="majorEastAsia" w:cstheme="majorBidi"/>
      <w:b/>
      <w:color w:val="0F4761" w:themeColor="accent1" w:themeShade="BF"/>
      <w:sz w:val="28"/>
      <w:szCs w:val="32"/>
    </w:rPr>
  </w:style>
  <w:style w:type="paragraph" w:styleId="Title">
    <w:name w:val="Title"/>
    <w:basedOn w:val="Normal"/>
    <w:next w:val="Normal"/>
    <w:link w:val="TitleChar"/>
    <w:qFormat/>
    <w:rsid w:val="008A3EBC"/>
    <w:pPr>
      <w:spacing w:before="0" w:after="0"/>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rsid w:val="008A3EBC"/>
    <w:rPr>
      <w:rFonts w:eastAsiaTheme="majorEastAsia" w:cstheme="majorBidi"/>
      <w:spacing w:val="-10"/>
      <w:kern w:val="28"/>
      <w:sz w:val="32"/>
      <w:szCs w:val="56"/>
    </w:rPr>
  </w:style>
  <w:style w:type="paragraph" w:styleId="ListParagraph">
    <w:name w:val="List Paragraph"/>
    <w:aliases w:val="List Paragraph1,Recommendation,L,List Paragraph11,Bulleted Para,NFP GP Bulleted List,List Paragraph2,FooterText,numbered,Paragraphe de liste1,Bulletr List Paragraph,列出段落,列出段落1,List Paragraph21,Listeafsnit1,Parágrafo da Lista1,リスト段落1,CV t"/>
    <w:basedOn w:val="Normal"/>
    <w:link w:val="ListParagraphChar"/>
    <w:uiPriority w:val="34"/>
    <w:qFormat/>
    <w:rsid w:val="004B73EA"/>
    <w:pPr>
      <w:spacing w:before="60" w:after="60"/>
    </w:pPr>
  </w:style>
  <w:style w:type="character" w:customStyle="1" w:styleId="ListParagraphChar">
    <w:name w:val="List Paragraph Char"/>
    <w:aliases w:val="List Paragraph1 Char,Recommendation Char,L Char,List Paragraph11 Char,Bulleted Para Char,NFP GP Bulleted List Char,List Paragraph2 Char,FooterText Char,numbered Char,Paragraphe de liste1 Char,Bulletr List Paragraph Char,列出段落 Char"/>
    <w:link w:val="ListParagraph"/>
    <w:uiPriority w:val="34"/>
    <w:qFormat/>
    <w:locked/>
    <w:rsid w:val="004B73EA"/>
    <w:rPr>
      <w:sz w:val="22"/>
    </w:rPr>
  </w:style>
  <w:style w:type="paragraph" w:styleId="TableofFigures">
    <w:name w:val="table of figures"/>
    <w:basedOn w:val="Normal"/>
    <w:next w:val="Normal"/>
    <w:uiPriority w:val="99"/>
    <w:unhideWhenUsed/>
    <w:rsid w:val="0014710A"/>
    <w:pPr>
      <w:spacing w:before="0" w:after="0"/>
      <w:ind w:left="442" w:hanging="442"/>
    </w:pPr>
    <w:rPr>
      <w:rFonts w:cstheme="minorHAnsi"/>
      <w:bCs/>
      <w:szCs w:val="20"/>
    </w:rPr>
  </w:style>
  <w:style w:type="character" w:customStyle="1" w:styleId="Heading4Char">
    <w:name w:val="Heading 4 Char"/>
    <w:basedOn w:val="DefaultParagraphFont"/>
    <w:link w:val="Heading4"/>
    <w:uiPriority w:val="9"/>
    <w:rsid w:val="00EA1EE2"/>
    <w:rPr>
      <w:rFonts w:eastAsiaTheme="majorEastAsia" w:cstheme="majorBidi"/>
      <w:b/>
      <w:i/>
      <w:iCs/>
      <w:color w:val="0F4761" w:themeColor="accent1" w:themeShade="BF"/>
      <w:sz w:val="22"/>
    </w:rPr>
  </w:style>
  <w:style w:type="character" w:customStyle="1" w:styleId="Heading3Char">
    <w:name w:val="Heading 3 Char"/>
    <w:basedOn w:val="DefaultParagraphFont"/>
    <w:link w:val="Heading3"/>
    <w:uiPriority w:val="9"/>
    <w:rsid w:val="004F50F2"/>
    <w:rPr>
      <w:rFonts w:eastAsiaTheme="majorEastAsia" w:cstheme="majorBidi"/>
      <w:b/>
      <w:i/>
      <w:color w:val="0A2F40" w:themeColor="accent1" w:themeShade="7F"/>
      <w:sz w:val="22"/>
    </w:rPr>
  </w:style>
  <w:style w:type="character" w:customStyle="1" w:styleId="Heading2Char">
    <w:name w:val="Heading 2 Char"/>
    <w:basedOn w:val="DefaultParagraphFont"/>
    <w:link w:val="Heading2"/>
    <w:uiPriority w:val="9"/>
    <w:rsid w:val="000C75E9"/>
    <w:rPr>
      <w:rFonts w:eastAsiaTheme="majorEastAsia" w:cstheme="majorBidi"/>
      <w:b/>
      <w:color w:val="0F4761" w:themeColor="accent1" w:themeShade="BF"/>
      <w:szCs w:val="26"/>
    </w:rPr>
  </w:style>
  <w:style w:type="paragraph" w:styleId="TOC1">
    <w:name w:val="toc 1"/>
    <w:basedOn w:val="Normal"/>
    <w:next w:val="Normal"/>
    <w:autoRedefine/>
    <w:uiPriority w:val="39"/>
    <w:unhideWhenUsed/>
    <w:rsid w:val="002D718E"/>
    <w:pPr>
      <w:spacing w:before="240"/>
    </w:pPr>
    <w:rPr>
      <w:b/>
      <w:bCs/>
      <w:sz w:val="20"/>
      <w:szCs w:val="20"/>
    </w:rPr>
  </w:style>
  <w:style w:type="paragraph" w:styleId="TOC3">
    <w:name w:val="toc 3"/>
    <w:basedOn w:val="Normal"/>
    <w:next w:val="Normal"/>
    <w:autoRedefine/>
    <w:uiPriority w:val="39"/>
    <w:unhideWhenUsed/>
    <w:qFormat/>
    <w:rsid w:val="002D718E"/>
    <w:pPr>
      <w:spacing w:before="0" w:after="0"/>
      <w:ind w:left="440"/>
    </w:pPr>
    <w:rPr>
      <w:sz w:val="20"/>
      <w:szCs w:val="20"/>
    </w:rPr>
  </w:style>
  <w:style w:type="paragraph" w:styleId="TOC2">
    <w:name w:val="toc 2"/>
    <w:basedOn w:val="Normal"/>
    <w:next w:val="Normal"/>
    <w:autoRedefine/>
    <w:uiPriority w:val="39"/>
    <w:unhideWhenUsed/>
    <w:rsid w:val="00A07FEC"/>
    <w:pPr>
      <w:tabs>
        <w:tab w:val="right" w:leader="dot" w:pos="9011"/>
      </w:tabs>
      <w:spacing w:before="0" w:after="0"/>
      <w:ind w:left="221"/>
    </w:pPr>
    <w:rPr>
      <w:i/>
      <w:iCs/>
      <w:sz w:val="20"/>
      <w:szCs w:val="20"/>
    </w:rPr>
  </w:style>
  <w:style w:type="paragraph" w:styleId="Quote">
    <w:name w:val="Quote"/>
    <w:basedOn w:val="Normal"/>
    <w:next w:val="Normal"/>
    <w:link w:val="QuoteChar"/>
    <w:uiPriority w:val="29"/>
    <w:qFormat/>
    <w:rsid w:val="002D718E"/>
    <w:pPr>
      <w:ind w:left="432" w:right="432"/>
    </w:pPr>
    <w:rPr>
      <w:rFonts w:eastAsia="Times New Roman" w:cs="Times New Roman"/>
      <w:iCs/>
      <w:color w:val="404040" w:themeColor="text1" w:themeTint="BF"/>
      <w:kern w:val="0"/>
      <w:lang w:eastAsia="en-GB"/>
      <w14:ligatures w14:val="none"/>
    </w:rPr>
  </w:style>
  <w:style w:type="character" w:customStyle="1" w:styleId="QuoteChar">
    <w:name w:val="Quote Char"/>
    <w:basedOn w:val="DefaultParagraphFont"/>
    <w:link w:val="Quote"/>
    <w:uiPriority w:val="29"/>
    <w:rsid w:val="002D718E"/>
    <w:rPr>
      <w:rFonts w:eastAsia="Times New Roman" w:cs="Times New Roman"/>
      <w:iCs/>
      <w:color w:val="404040" w:themeColor="text1" w:themeTint="BF"/>
      <w:kern w:val="0"/>
      <w:sz w:val="20"/>
      <w:lang w:eastAsia="en-GB"/>
      <w14:ligatures w14:val="none"/>
    </w:rPr>
  </w:style>
  <w:style w:type="character" w:customStyle="1" w:styleId="Heading5Char">
    <w:name w:val="Heading 5 Char"/>
    <w:basedOn w:val="DefaultParagraphFont"/>
    <w:link w:val="Heading5"/>
    <w:uiPriority w:val="9"/>
    <w:semiHidden/>
    <w:rsid w:val="006E4F47"/>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6E4F47"/>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6E4F47"/>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6E4F47"/>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6E4F47"/>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6E4F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F47"/>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6E4F47"/>
    <w:rPr>
      <w:i/>
      <w:iCs/>
      <w:color w:val="0F4761" w:themeColor="accent1" w:themeShade="BF"/>
    </w:rPr>
  </w:style>
  <w:style w:type="paragraph" w:styleId="IntenseQuote">
    <w:name w:val="Intense Quote"/>
    <w:basedOn w:val="Normal"/>
    <w:next w:val="Normal"/>
    <w:link w:val="IntenseQuoteChar"/>
    <w:uiPriority w:val="30"/>
    <w:qFormat/>
    <w:rsid w:val="006E4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F47"/>
    <w:rPr>
      <w:i/>
      <w:iCs/>
      <w:color w:val="0F4761" w:themeColor="accent1" w:themeShade="BF"/>
      <w:sz w:val="22"/>
    </w:rPr>
  </w:style>
  <w:style w:type="character" w:styleId="IntenseReference">
    <w:name w:val="Intense Reference"/>
    <w:basedOn w:val="DefaultParagraphFont"/>
    <w:uiPriority w:val="32"/>
    <w:qFormat/>
    <w:rsid w:val="006E4F47"/>
    <w:rPr>
      <w:b/>
      <w:bCs/>
      <w:smallCaps/>
      <w:color w:val="0F4761" w:themeColor="accent1" w:themeShade="BF"/>
      <w:spacing w:val="5"/>
    </w:rPr>
  </w:style>
  <w:style w:type="character" w:styleId="Hyperlink">
    <w:name w:val="Hyperlink"/>
    <w:basedOn w:val="DefaultParagraphFont"/>
    <w:uiPriority w:val="99"/>
    <w:unhideWhenUsed/>
    <w:rsid w:val="006E4F47"/>
    <w:rPr>
      <w:color w:val="0000FF"/>
      <w:u w:val="single"/>
    </w:rPr>
  </w:style>
  <w:style w:type="table" w:styleId="TableGrid">
    <w:name w:val="Table Grid"/>
    <w:basedOn w:val="TableNormal"/>
    <w:uiPriority w:val="39"/>
    <w:rsid w:val="006E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55042"/>
    <w:pPr>
      <w:spacing w:before="0" w:after="0"/>
      <w:ind w:left="660"/>
    </w:pPr>
    <w:rPr>
      <w:sz w:val="20"/>
      <w:szCs w:val="20"/>
    </w:rPr>
  </w:style>
  <w:style w:type="paragraph" w:styleId="TOC5">
    <w:name w:val="toc 5"/>
    <w:basedOn w:val="Normal"/>
    <w:next w:val="Normal"/>
    <w:autoRedefine/>
    <w:uiPriority w:val="39"/>
    <w:unhideWhenUsed/>
    <w:rsid w:val="00155042"/>
    <w:pPr>
      <w:spacing w:before="0" w:after="0"/>
      <w:ind w:left="880"/>
    </w:pPr>
    <w:rPr>
      <w:sz w:val="20"/>
      <w:szCs w:val="20"/>
    </w:rPr>
  </w:style>
  <w:style w:type="paragraph" w:styleId="TOC6">
    <w:name w:val="toc 6"/>
    <w:basedOn w:val="Normal"/>
    <w:next w:val="Normal"/>
    <w:autoRedefine/>
    <w:uiPriority w:val="39"/>
    <w:unhideWhenUsed/>
    <w:rsid w:val="00155042"/>
    <w:pPr>
      <w:spacing w:before="0" w:after="0"/>
      <w:ind w:left="1100"/>
    </w:pPr>
    <w:rPr>
      <w:sz w:val="20"/>
      <w:szCs w:val="20"/>
    </w:rPr>
  </w:style>
  <w:style w:type="paragraph" w:styleId="TOC7">
    <w:name w:val="toc 7"/>
    <w:basedOn w:val="Normal"/>
    <w:next w:val="Normal"/>
    <w:autoRedefine/>
    <w:uiPriority w:val="39"/>
    <w:unhideWhenUsed/>
    <w:rsid w:val="00155042"/>
    <w:pPr>
      <w:spacing w:before="0" w:after="0"/>
      <w:ind w:left="1320"/>
    </w:pPr>
    <w:rPr>
      <w:sz w:val="20"/>
      <w:szCs w:val="20"/>
    </w:rPr>
  </w:style>
  <w:style w:type="paragraph" w:styleId="TOC8">
    <w:name w:val="toc 8"/>
    <w:basedOn w:val="Normal"/>
    <w:next w:val="Normal"/>
    <w:autoRedefine/>
    <w:uiPriority w:val="39"/>
    <w:unhideWhenUsed/>
    <w:rsid w:val="00155042"/>
    <w:pPr>
      <w:spacing w:before="0" w:after="0"/>
      <w:ind w:left="1540"/>
    </w:pPr>
    <w:rPr>
      <w:sz w:val="20"/>
      <w:szCs w:val="20"/>
    </w:rPr>
  </w:style>
  <w:style w:type="paragraph" w:styleId="TOC9">
    <w:name w:val="toc 9"/>
    <w:basedOn w:val="Normal"/>
    <w:next w:val="Normal"/>
    <w:autoRedefine/>
    <w:uiPriority w:val="39"/>
    <w:unhideWhenUsed/>
    <w:rsid w:val="00155042"/>
    <w:pPr>
      <w:spacing w:before="0" w:after="0"/>
      <w:ind w:left="1760"/>
    </w:pPr>
    <w:rPr>
      <w:sz w:val="20"/>
      <w:szCs w:val="20"/>
    </w:rPr>
  </w:style>
  <w:style w:type="paragraph" w:styleId="FootnoteText">
    <w:name w:val="footnote text"/>
    <w:basedOn w:val="Normal"/>
    <w:link w:val="FootnoteTextChar"/>
    <w:uiPriority w:val="99"/>
    <w:semiHidden/>
    <w:unhideWhenUsed/>
    <w:rsid w:val="0099575F"/>
    <w:pPr>
      <w:spacing w:before="0" w:after="0"/>
    </w:pPr>
    <w:rPr>
      <w:rFonts w:asciiTheme="majorHAnsi" w:hAnsiTheme="majorHAnsi"/>
      <w:kern w:val="0"/>
      <w:szCs w:val="20"/>
      <w14:ligatures w14:val="none"/>
    </w:rPr>
  </w:style>
  <w:style w:type="character" w:customStyle="1" w:styleId="FootnoteTextChar">
    <w:name w:val="Footnote Text Char"/>
    <w:basedOn w:val="DefaultParagraphFont"/>
    <w:link w:val="FootnoteText"/>
    <w:uiPriority w:val="99"/>
    <w:semiHidden/>
    <w:rsid w:val="0099575F"/>
    <w:rPr>
      <w:rFonts w:asciiTheme="majorHAnsi" w:hAnsiTheme="majorHAnsi"/>
      <w:kern w:val="0"/>
      <w:sz w:val="22"/>
      <w:szCs w:val="20"/>
      <w14:ligatures w14:val="none"/>
    </w:rPr>
  </w:style>
  <w:style w:type="character" w:styleId="FootnoteReference">
    <w:name w:val="footnote reference"/>
    <w:basedOn w:val="DefaultParagraphFont"/>
    <w:uiPriority w:val="99"/>
    <w:semiHidden/>
    <w:unhideWhenUsed/>
    <w:rsid w:val="0099575F"/>
    <w:rPr>
      <w:vertAlign w:val="superscript"/>
    </w:rPr>
  </w:style>
  <w:style w:type="paragraph" w:styleId="Footer">
    <w:name w:val="footer"/>
    <w:basedOn w:val="Normal"/>
    <w:link w:val="FooterChar"/>
    <w:uiPriority w:val="99"/>
    <w:unhideWhenUsed/>
    <w:rsid w:val="0099575F"/>
    <w:pPr>
      <w:tabs>
        <w:tab w:val="center" w:pos="4513"/>
        <w:tab w:val="right" w:pos="9026"/>
      </w:tabs>
      <w:spacing w:before="0" w:after="0"/>
    </w:pPr>
  </w:style>
  <w:style w:type="character" w:customStyle="1" w:styleId="FooterChar">
    <w:name w:val="Footer Char"/>
    <w:basedOn w:val="DefaultParagraphFont"/>
    <w:link w:val="Footer"/>
    <w:uiPriority w:val="99"/>
    <w:rsid w:val="0099575F"/>
    <w:rPr>
      <w:sz w:val="22"/>
    </w:rPr>
  </w:style>
  <w:style w:type="character" w:styleId="PageNumber">
    <w:name w:val="page number"/>
    <w:basedOn w:val="DefaultParagraphFont"/>
    <w:uiPriority w:val="99"/>
    <w:semiHidden/>
    <w:unhideWhenUsed/>
    <w:rsid w:val="0099575F"/>
  </w:style>
  <w:style w:type="character" w:styleId="UnresolvedMention">
    <w:name w:val="Unresolved Mention"/>
    <w:basedOn w:val="DefaultParagraphFont"/>
    <w:uiPriority w:val="99"/>
    <w:semiHidden/>
    <w:unhideWhenUsed/>
    <w:rsid w:val="003D7EDB"/>
    <w:rPr>
      <w:color w:val="605E5C"/>
      <w:shd w:val="clear" w:color="auto" w:fill="E1DFDD"/>
    </w:rPr>
  </w:style>
  <w:style w:type="paragraph" w:styleId="Header">
    <w:name w:val="header"/>
    <w:basedOn w:val="Normal"/>
    <w:link w:val="HeaderChar"/>
    <w:uiPriority w:val="99"/>
    <w:unhideWhenUsed/>
    <w:rsid w:val="00025983"/>
    <w:pPr>
      <w:tabs>
        <w:tab w:val="center" w:pos="4513"/>
        <w:tab w:val="right" w:pos="9026"/>
      </w:tabs>
      <w:spacing w:before="0" w:after="0"/>
    </w:pPr>
  </w:style>
  <w:style w:type="character" w:customStyle="1" w:styleId="HeaderChar">
    <w:name w:val="Header Char"/>
    <w:basedOn w:val="DefaultParagraphFont"/>
    <w:link w:val="Header"/>
    <w:uiPriority w:val="99"/>
    <w:rsid w:val="000259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siro.au/en/news/All/News/2024/March/First-multi-metal-3D-printer-in-Australia-to-boost-aerospace-manufacturing" TargetMode="External"/><Relationship Id="rId1" Type="http://schemas.openxmlformats.org/officeDocument/2006/relationships/hyperlink" Target="https://www.uts.edu.au/sites/default/files/2020-05/Challenges%20for%20Australian%20Research%20and%20Innovation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898B-50DD-F640-AD4A-10A51C19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 Howard</dc:creator>
  <cp:keywords/>
  <dc:description/>
  <cp:lastModifiedBy>John H Howard</cp:lastModifiedBy>
  <cp:revision>25</cp:revision>
  <cp:lastPrinted>2024-04-07T04:54:00Z</cp:lastPrinted>
  <dcterms:created xsi:type="dcterms:W3CDTF">2024-02-22T05:47:00Z</dcterms:created>
  <dcterms:modified xsi:type="dcterms:W3CDTF">2024-05-03T07:49:00Z</dcterms:modified>
</cp:coreProperties>
</file>